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ascii="宋体" w:hAnsi="宋体" w:cs="黑体"/>
          <w:b/>
          <w:bCs/>
          <w:sz w:val="32"/>
          <w:szCs w:val="32"/>
        </w:rPr>
      </w:pPr>
      <w:r>
        <w:rPr>
          <w:rFonts w:hint="eastAsia" w:ascii="宋体" w:hAnsi="宋体" w:cs="黑体"/>
          <w:b/>
          <w:bCs/>
          <w:sz w:val="32"/>
          <w:szCs w:val="32"/>
        </w:rPr>
        <w:t>水利与土木工程学院研究生国家奖学金参评办法</w:t>
      </w:r>
    </w:p>
    <w:p>
      <w:pPr>
        <w:adjustRightInd w:val="0"/>
        <w:snapToGrid w:val="0"/>
        <w:spacing w:line="360" w:lineRule="auto"/>
        <w:jc w:val="center"/>
        <w:rPr>
          <w:rFonts w:ascii="宋体" w:hAnsi="宋体"/>
          <w:b/>
          <w:bCs/>
          <w:sz w:val="32"/>
          <w:szCs w:val="32"/>
        </w:rPr>
      </w:pPr>
      <w:r>
        <w:rPr>
          <w:rFonts w:hint="eastAsia" w:ascii="宋体" w:hAnsi="宋体" w:cs="黑体"/>
          <w:b/>
          <w:bCs/>
          <w:sz w:val="32"/>
          <w:szCs w:val="32"/>
        </w:rPr>
        <w:t>（2019年试行版）</w:t>
      </w:r>
    </w:p>
    <w:p>
      <w:pPr>
        <w:adjustRightInd w:val="0"/>
        <w:snapToGrid w:val="0"/>
        <w:spacing w:line="360" w:lineRule="auto"/>
        <w:ind w:firstLine="200" w:firstLineChars="200"/>
        <w:rPr>
          <w:rFonts w:ascii="宋体" w:hAnsi="宋体" w:cs="仿宋_GB2312"/>
          <w:sz w:val="10"/>
          <w:szCs w:val="10"/>
        </w:rPr>
      </w:pP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按照《华南农业大学研究生国家奖学金评选办法》（华农党发〔2014〕20号），结合我学院研究生培养工作，制定我学院研究生国家奖学金评选细则。</w:t>
      </w:r>
    </w:p>
    <w:p>
      <w:pPr>
        <w:adjustRightInd w:val="0"/>
        <w:snapToGrid w:val="0"/>
        <w:spacing w:line="360" w:lineRule="auto"/>
        <w:ind w:firstLine="480" w:firstLineChars="200"/>
        <w:rPr>
          <w:rFonts w:ascii="宋体" w:hAnsi="宋体"/>
          <w:sz w:val="24"/>
          <w:szCs w:val="24"/>
        </w:rPr>
      </w:pPr>
    </w:p>
    <w:p>
      <w:pPr>
        <w:adjustRightInd w:val="0"/>
        <w:snapToGrid w:val="0"/>
        <w:spacing w:before="100" w:beforeAutospacing="1" w:after="100" w:afterAutospacing="1"/>
        <w:jc w:val="center"/>
        <w:rPr>
          <w:rFonts w:ascii="宋体" w:hAnsi="宋体" w:cs="黑体"/>
          <w:b/>
          <w:bCs/>
          <w:sz w:val="28"/>
          <w:szCs w:val="28"/>
        </w:rPr>
      </w:pPr>
      <w:r>
        <w:rPr>
          <w:rFonts w:hint="eastAsia" w:ascii="宋体" w:hAnsi="宋体" w:cs="黑体"/>
          <w:b/>
          <w:bCs/>
          <w:sz w:val="28"/>
          <w:szCs w:val="28"/>
        </w:rPr>
        <w:t>第一部分  总章</w:t>
      </w:r>
    </w:p>
    <w:p>
      <w:pPr>
        <w:adjustRightInd w:val="0"/>
        <w:snapToGrid w:val="0"/>
        <w:spacing w:line="360" w:lineRule="auto"/>
        <w:ind w:firstLine="562" w:firstLineChars="200"/>
        <w:rPr>
          <w:rFonts w:ascii="宋体" w:hAnsi="宋体"/>
          <w:b/>
          <w:bCs/>
          <w:sz w:val="28"/>
          <w:szCs w:val="28"/>
        </w:rPr>
      </w:pPr>
      <w:r>
        <w:rPr>
          <w:rFonts w:hint="eastAsia" w:ascii="宋体" w:hAnsi="宋体" w:cs="黑体"/>
          <w:b/>
          <w:bCs/>
          <w:sz w:val="28"/>
          <w:szCs w:val="28"/>
        </w:rPr>
        <w:t>一、申报对象</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我院已注册的非定向学术型研究生、非定向全日制专业学位研究生（外国留学生、港澳台学生除外）。超出学制期限基本修业年限的研究生（即延期毕业的研究生），原则上不再具备研究生国家奖学金参评资格。</w:t>
      </w:r>
    </w:p>
    <w:p>
      <w:pPr>
        <w:adjustRightInd w:val="0"/>
        <w:snapToGrid w:val="0"/>
        <w:spacing w:line="360" w:lineRule="auto"/>
        <w:ind w:firstLine="562" w:firstLineChars="200"/>
        <w:rPr>
          <w:rFonts w:ascii="宋体" w:hAnsi="宋体"/>
          <w:b/>
          <w:bCs/>
          <w:sz w:val="28"/>
          <w:szCs w:val="28"/>
        </w:rPr>
      </w:pPr>
      <w:r>
        <w:rPr>
          <w:rFonts w:hint="eastAsia" w:ascii="宋体" w:hAnsi="宋体" w:cs="黑体"/>
          <w:b/>
          <w:bCs/>
          <w:sz w:val="28"/>
          <w:szCs w:val="28"/>
        </w:rPr>
        <w:t>二、评选时间</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研究生国家奖学金评选工作在每年</w:t>
      </w:r>
      <w:r>
        <w:rPr>
          <w:rFonts w:ascii="宋体" w:hAnsi="宋体" w:cs="仿宋_GB2312"/>
          <w:sz w:val="24"/>
          <w:szCs w:val="24"/>
        </w:rPr>
        <w:t>9</w:t>
      </w:r>
      <w:r>
        <w:rPr>
          <w:rFonts w:hint="eastAsia" w:ascii="宋体" w:hAnsi="宋体" w:cs="仿宋_GB2312"/>
          <w:sz w:val="24"/>
          <w:szCs w:val="24"/>
        </w:rPr>
        <w:t>-10月份进行。</w:t>
      </w:r>
    </w:p>
    <w:p>
      <w:pPr>
        <w:adjustRightInd w:val="0"/>
        <w:snapToGrid w:val="0"/>
        <w:spacing w:line="360" w:lineRule="auto"/>
        <w:ind w:firstLine="562" w:firstLineChars="200"/>
        <w:rPr>
          <w:rFonts w:ascii="宋体" w:hAnsi="宋体"/>
          <w:b/>
          <w:bCs/>
          <w:sz w:val="28"/>
          <w:szCs w:val="28"/>
        </w:rPr>
      </w:pPr>
      <w:r>
        <w:rPr>
          <w:rFonts w:hint="eastAsia" w:ascii="宋体" w:hAnsi="宋体" w:cs="黑体"/>
          <w:b/>
          <w:bCs/>
          <w:sz w:val="28"/>
          <w:szCs w:val="28"/>
        </w:rPr>
        <w:t>三、奖励比例与标准</w:t>
      </w:r>
    </w:p>
    <w:p>
      <w:pPr>
        <w:adjustRightInd w:val="0"/>
        <w:snapToGrid w:val="0"/>
        <w:spacing w:line="360" w:lineRule="auto"/>
        <w:ind w:firstLine="480" w:firstLineChars="200"/>
        <w:rPr>
          <w:rFonts w:ascii="宋体" w:hAnsi="宋体"/>
          <w:sz w:val="24"/>
          <w:szCs w:val="24"/>
        </w:rPr>
      </w:pPr>
      <w:r>
        <w:rPr>
          <w:rFonts w:ascii="宋体" w:hAnsi="宋体" w:cs="仿宋_GB2312"/>
          <w:sz w:val="24"/>
          <w:szCs w:val="24"/>
        </w:rPr>
        <w:t>1.</w:t>
      </w:r>
      <w:r>
        <w:rPr>
          <w:rFonts w:hint="eastAsia" w:ascii="宋体" w:hAnsi="宋体" w:cs="仿宋_GB2312"/>
          <w:sz w:val="24"/>
          <w:szCs w:val="24"/>
        </w:rPr>
        <w:t>研究生国家奖学金分为新生国家奖学金、老生国家奖学金（包括硕士研究生国家奖学金和博士研究生国家奖学金）。</w:t>
      </w:r>
    </w:p>
    <w:p>
      <w:pPr>
        <w:adjustRightInd w:val="0"/>
        <w:snapToGrid w:val="0"/>
        <w:spacing w:line="360" w:lineRule="auto"/>
        <w:ind w:firstLine="480" w:firstLineChars="200"/>
        <w:rPr>
          <w:rFonts w:ascii="宋体" w:hAnsi="宋体"/>
          <w:sz w:val="24"/>
          <w:szCs w:val="24"/>
        </w:rPr>
      </w:pPr>
      <w:r>
        <w:rPr>
          <w:rFonts w:ascii="宋体" w:hAnsi="宋体" w:cs="仿宋_GB2312"/>
          <w:sz w:val="24"/>
          <w:szCs w:val="24"/>
        </w:rPr>
        <w:t>2.</w:t>
      </w:r>
      <w:r>
        <w:rPr>
          <w:rFonts w:hint="eastAsia" w:ascii="宋体" w:hAnsi="宋体" w:cs="仿宋_GB2312"/>
          <w:sz w:val="24"/>
          <w:szCs w:val="24"/>
        </w:rPr>
        <w:t>新生国家奖学金由学校统一评选，实施细则与评审方式由学校制定；老生国家奖学金由学院进行初评、公示后推荐到学校进行评审，非定向研究生享受荣誉和奖励，定向研究生不参与评比。</w:t>
      </w:r>
    </w:p>
    <w:p>
      <w:pPr>
        <w:adjustRightInd w:val="0"/>
        <w:snapToGrid w:val="0"/>
        <w:spacing w:line="360" w:lineRule="auto"/>
        <w:ind w:firstLine="480" w:firstLineChars="200"/>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国家奖学金的获奖指标与奖励标准，以学校当年公布为准。由于学院研究生人数所限，经学校批准，采用指标累计制评选。</w:t>
      </w:r>
    </w:p>
    <w:p>
      <w:pPr>
        <w:adjustRightInd w:val="0"/>
        <w:snapToGrid w:val="0"/>
        <w:spacing w:line="360" w:lineRule="auto"/>
        <w:ind w:firstLine="562" w:firstLineChars="200"/>
        <w:rPr>
          <w:rFonts w:ascii="宋体" w:hAnsi="宋体"/>
          <w:b/>
          <w:bCs/>
          <w:sz w:val="28"/>
          <w:szCs w:val="28"/>
        </w:rPr>
      </w:pPr>
      <w:r>
        <w:rPr>
          <w:rFonts w:hint="eastAsia" w:ascii="宋体" w:hAnsi="宋体" w:cs="黑体"/>
          <w:b/>
          <w:bCs/>
          <w:sz w:val="28"/>
          <w:szCs w:val="28"/>
        </w:rPr>
        <w:t>四、评选条件</w:t>
      </w:r>
    </w:p>
    <w:p>
      <w:pPr>
        <w:adjustRightInd w:val="0"/>
        <w:snapToGrid w:val="0"/>
        <w:spacing w:line="360" w:lineRule="auto"/>
        <w:ind w:firstLine="562" w:firstLineChars="200"/>
        <w:rPr>
          <w:rFonts w:ascii="宋体" w:hAnsi="宋体"/>
          <w:b/>
          <w:bCs/>
          <w:sz w:val="28"/>
          <w:szCs w:val="28"/>
        </w:rPr>
      </w:pPr>
      <w:r>
        <w:rPr>
          <w:rFonts w:hint="eastAsia" w:ascii="宋体" w:hAnsi="宋体" w:cs="仿宋_GB2312"/>
          <w:b/>
          <w:bCs/>
          <w:sz w:val="28"/>
          <w:szCs w:val="28"/>
        </w:rPr>
        <w:t>（一）基本条件</w:t>
      </w:r>
    </w:p>
    <w:p>
      <w:pPr>
        <w:adjustRightInd w:val="0"/>
        <w:snapToGrid w:val="0"/>
        <w:spacing w:line="360" w:lineRule="auto"/>
        <w:ind w:firstLine="480" w:firstLineChars="200"/>
        <w:rPr>
          <w:rFonts w:ascii="宋体" w:hAnsi="宋体"/>
          <w:sz w:val="24"/>
          <w:szCs w:val="24"/>
        </w:rPr>
      </w:pPr>
      <w:r>
        <w:rPr>
          <w:rFonts w:ascii="宋体" w:hAnsi="宋体" w:cs="仿宋_GB2312"/>
          <w:sz w:val="24"/>
          <w:szCs w:val="24"/>
        </w:rPr>
        <w:t>1.</w:t>
      </w:r>
      <w:r>
        <w:rPr>
          <w:rFonts w:hint="eastAsia" w:ascii="宋体" w:hAnsi="宋体" w:cs="仿宋_GB2312"/>
          <w:sz w:val="24"/>
          <w:szCs w:val="24"/>
        </w:rPr>
        <w:t>热爱社会主义祖国，拥护中国共产党的领导；</w:t>
      </w:r>
    </w:p>
    <w:p>
      <w:pPr>
        <w:adjustRightInd w:val="0"/>
        <w:snapToGrid w:val="0"/>
        <w:spacing w:line="360" w:lineRule="auto"/>
        <w:ind w:firstLine="480" w:firstLineChars="200"/>
        <w:rPr>
          <w:rFonts w:ascii="宋体" w:hAnsi="宋体"/>
          <w:sz w:val="24"/>
          <w:szCs w:val="24"/>
        </w:rPr>
      </w:pPr>
      <w:r>
        <w:rPr>
          <w:rFonts w:ascii="宋体" w:hAnsi="宋体" w:cs="仿宋_GB2312"/>
          <w:sz w:val="24"/>
          <w:szCs w:val="24"/>
        </w:rPr>
        <w:t>2.</w:t>
      </w:r>
      <w:r>
        <w:rPr>
          <w:rFonts w:hint="eastAsia" w:ascii="宋体" w:hAnsi="宋体" w:cs="仿宋_GB2312"/>
          <w:sz w:val="24"/>
          <w:szCs w:val="24"/>
        </w:rPr>
        <w:t>遵守宪法和法律，遵守学校规章制度；</w:t>
      </w:r>
    </w:p>
    <w:p>
      <w:pPr>
        <w:adjustRightInd w:val="0"/>
        <w:snapToGrid w:val="0"/>
        <w:spacing w:line="360" w:lineRule="auto"/>
        <w:ind w:firstLine="480" w:firstLineChars="200"/>
        <w:rPr>
          <w:rFonts w:ascii="宋体" w:hAnsi="宋体"/>
          <w:sz w:val="24"/>
          <w:szCs w:val="24"/>
        </w:rPr>
      </w:pPr>
      <w:r>
        <w:rPr>
          <w:rFonts w:ascii="宋体" w:hAnsi="宋体" w:cs="仿宋_GB2312"/>
          <w:sz w:val="24"/>
          <w:szCs w:val="24"/>
        </w:rPr>
        <w:t>3.</w:t>
      </w:r>
      <w:r>
        <w:rPr>
          <w:rFonts w:hint="eastAsia" w:ascii="宋体" w:hAnsi="宋体" w:cs="仿宋_GB2312"/>
          <w:sz w:val="24"/>
          <w:szCs w:val="24"/>
        </w:rPr>
        <w:t>诚实守信，品学兼优；</w:t>
      </w:r>
    </w:p>
    <w:p>
      <w:pPr>
        <w:adjustRightInd w:val="0"/>
        <w:snapToGrid w:val="0"/>
        <w:spacing w:line="360" w:lineRule="auto"/>
        <w:ind w:firstLine="480" w:firstLineChars="200"/>
        <w:rPr>
          <w:rFonts w:ascii="宋体" w:hAnsi="宋体"/>
          <w:sz w:val="24"/>
          <w:szCs w:val="24"/>
        </w:rPr>
      </w:pPr>
      <w:r>
        <w:rPr>
          <w:rFonts w:ascii="宋体" w:hAnsi="宋体" w:cs="仿宋_GB2312"/>
          <w:sz w:val="24"/>
          <w:szCs w:val="24"/>
        </w:rPr>
        <w:t>4.</w:t>
      </w:r>
      <w:r>
        <w:rPr>
          <w:rFonts w:hint="eastAsia" w:ascii="宋体" w:hAnsi="宋体" w:cs="仿宋_GB2312"/>
          <w:sz w:val="24"/>
          <w:szCs w:val="24"/>
        </w:rPr>
        <w:t>积极参与科学研究和社会实践；</w:t>
      </w:r>
    </w:p>
    <w:p>
      <w:pPr>
        <w:adjustRightInd w:val="0"/>
        <w:snapToGrid w:val="0"/>
        <w:spacing w:line="360" w:lineRule="auto"/>
        <w:ind w:firstLine="480" w:firstLineChars="200"/>
        <w:rPr>
          <w:rFonts w:ascii="宋体" w:hAnsi="宋体"/>
          <w:sz w:val="24"/>
          <w:szCs w:val="24"/>
        </w:rPr>
      </w:pPr>
      <w:r>
        <w:rPr>
          <w:rFonts w:ascii="宋体" w:hAnsi="宋体" w:cs="仿宋_GB2312"/>
          <w:sz w:val="24"/>
          <w:szCs w:val="24"/>
        </w:rPr>
        <w:t>5.</w:t>
      </w:r>
      <w:r>
        <w:rPr>
          <w:rFonts w:hint="eastAsia" w:ascii="宋体" w:hAnsi="宋体" w:cs="仿宋_GB2312"/>
          <w:sz w:val="24"/>
          <w:szCs w:val="24"/>
        </w:rPr>
        <w:t>有下列情况之一者不能获评：</w:t>
      </w:r>
    </w:p>
    <w:p>
      <w:pPr>
        <w:widowControl/>
        <w:adjustRightInd w:val="0"/>
        <w:snapToGrid w:val="0"/>
        <w:spacing w:line="360" w:lineRule="auto"/>
        <w:ind w:firstLine="600" w:firstLineChars="250"/>
        <w:jc w:val="left"/>
        <w:rPr>
          <w:rFonts w:ascii="宋体" w:hAnsi="宋体"/>
          <w:sz w:val="24"/>
          <w:szCs w:val="24"/>
        </w:rPr>
      </w:pPr>
      <w:r>
        <w:rPr>
          <w:rFonts w:hint="eastAsia" w:ascii="宋体" w:hAnsi="宋体" w:cs="仿宋_GB2312"/>
          <w:sz w:val="24"/>
          <w:szCs w:val="24"/>
        </w:rPr>
        <w:t>（</w:t>
      </w:r>
      <w:r>
        <w:rPr>
          <w:rFonts w:ascii="宋体" w:hAnsi="宋体" w:cs="仿宋_GB2312"/>
          <w:sz w:val="24"/>
          <w:szCs w:val="24"/>
        </w:rPr>
        <w:t>1</w:t>
      </w:r>
      <w:r>
        <w:rPr>
          <w:rFonts w:hint="eastAsia" w:ascii="宋体" w:hAnsi="宋体" w:cs="仿宋_GB2312"/>
          <w:sz w:val="24"/>
          <w:szCs w:val="24"/>
        </w:rPr>
        <w:t>）在学校规定时间内未完成注册手续；</w:t>
      </w:r>
    </w:p>
    <w:p>
      <w:pPr>
        <w:widowControl/>
        <w:adjustRightInd w:val="0"/>
        <w:snapToGrid w:val="0"/>
        <w:spacing w:line="360" w:lineRule="auto"/>
        <w:ind w:firstLine="600" w:firstLineChars="250"/>
        <w:jc w:val="left"/>
        <w:rPr>
          <w:rFonts w:ascii="宋体" w:hAnsi="宋体" w:cs="仿宋_GB2312"/>
          <w:sz w:val="24"/>
          <w:szCs w:val="24"/>
        </w:rPr>
      </w:pPr>
      <w:r>
        <w:rPr>
          <w:rFonts w:hint="eastAsia" w:ascii="宋体" w:hAnsi="宋体" w:cs="仿宋_GB2312"/>
          <w:sz w:val="24"/>
          <w:szCs w:val="24"/>
        </w:rPr>
        <w:t>（</w:t>
      </w:r>
      <w:r>
        <w:rPr>
          <w:rFonts w:ascii="宋体" w:hAnsi="宋体" w:cs="仿宋_GB2312"/>
          <w:sz w:val="24"/>
          <w:szCs w:val="24"/>
        </w:rPr>
        <w:t>2</w:t>
      </w:r>
      <w:r>
        <w:rPr>
          <w:rFonts w:hint="eastAsia" w:ascii="宋体" w:hAnsi="宋体" w:cs="仿宋_GB2312"/>
          <w:sz w:val="24"/>
          <w:szCs w:val="24"/>
        </w:rPr>
        <w:t>）参评年度有抄袭剽窃、弄虚作假等学术不端行为经查证属实的；</w:t>
      </w:r>
    </w:p>
    <w:p>
      <w:pPr>
        <w:widowControl/>
        <w:adjustRightInd w:val="0"/>
        <w:snapToGrid w:val="0"/>
        <w:spacing w:line="360" w:lineRule="auto"/>
        <w:ind w:firstLine="600" w:firstLineChars="250"/>
        <w:jc w:val="left"/>
        <w:rPr>
          <w:rFonts w:ascii="宋体" w:hAnsi="宋体"/>
          <w:sz w:val="24"/>
          <w:szCs w:val="24"/>
        </w:rPr>
      </w:pPr>
      <w:r>
        <w:rPr>
          <w:rFonts w:hint="eastAsia" w:ascii="宋体" w:hAnsi="宋体" w:cs="仿宋_GB2312"/>
          <w:sz w:val="24"/>
          <w:szCs w:val="24"/>
        </w:rPr>
        <w:t>（</w:t>
      </w:r>
      <w:r>
        <w:rPr>
          <w:rFonts w:ascii="宋体" w:hAnsi="宋体" w:cs="仿宋_GB2312"/>
          <w:sz w:val="24"/>
          <w:szCs w:val="24"/>
        </w:rPr>
        <w:t>3</w:t>
      </w:r>
      <w:r>
        <w:rPr>
          <w:rFonts w:hint="eastAsia" w:ascii="宋体" w:hAnsi="宋体" w:cs="仿宋_GB2312"/>
          <w:sz w:val="24"/>
          <w:szCs w:val="24"/>
        </w:rPr>
        <w:t>）新生经查实在研究生入学考试中隐瞒事实或有虚假内容；</w:t>
      </w:r>
    </w:p>
    <w:p>
      <w:pPr>
        <w:widowControl/>
        <w:adjustRightInd w:val="0"/>
        <w:snapToGrid w:val="0"/>
        <w:spacing w:line="360" w:lineRule="auto"/>
        <w:ind w:firstLine="600" w:firstLineChars="250"/>
        <w:jc w:val="left"/>
        <w:rPr>
          <w:rFonts w:ascii="宋体" w:hAnsi="宋体"/>
          <w:sz w:val="24"/>
          <w:szCs w:val="24"/>
        </w:rPr>
      </w:pPr>
      <w:r>
        <w:rPr>
          <w:rFonts w:hint="eastAsia" w:ascii="宋体" w:hAnsi="宋体" w:cs="仿宋_GB2312"/>
          <w:sz w:val="24"/>
          <w:szCs w:val="24"/>
        </w:rPr>
        <w:t>（</w:t>
      </w:r>
      <w:r>
        <w:rPr>
          <w:rFonts w:ascii="宋体" w:hAnsi="宋体" w:cs="仿宋_GB2312"/>
          <w:sz w:val="24"/>
          <w:szCs w:val="24"/>
        </w:rPr>
        <w:t>4</w:t>
      </w:r>
      <w:r>
        <w:rPr>
          <w:rFonts w:hint="eastAsia" w:ascii="宋体" w:hAnsi="宋体" w:cs="仿宋_GB2312"/>
          <w:sz w:val="24"/>
          <w:szCs w:val="24"/>
        </w:rPr>
        <w:t>）当学年受到学校通报批评以上（含通报批评）处理或处分；</w:t>
      </w:r>
    </w:p>
    <w:p>
      <w:pPr>
        <w:widowControl/>
        <w:adjustRightInd w:val="0"/>
        <w:snapToGrid w:val="0"/>
        <w:spacing w:line="360" w:lineRule="auto"/>
        <w:ind w:firstLine="600" w:firstLineChars="250"/>
        <w:jc w:val="left"/>
        <w:rPr>
          <w:rFonts w:ascii="宋体" w:hAnsi="宋体"/>
          <w:sz w:val="24"/>
          <w:szCs w:val="24"/>
        </w:rPr>
      </w:pPr>
      <w:r>
        <w:rPr>
          <w:rFonts w:hint="eastAsia" w:ascii="宋体" w:hAnsi="宋体" w:cs="仿宋_GB2312"/>
          <w:sz w:val="24"/>
          <w:szCs w:val="24"/>
        </w:rPr>
        <w:t>（</w:t>
      </w:r>
      <w:r>
        <w:rPr>
          <w:rFonts w:ascii="宋体" w:hAnsi="宋体" w:cs="仿宋_GB2312"/>
          <w:sz w:val="24"/>
          <w:szCs w:val="24"/>
        </w:rPr>
        <w:t>5</w:t>
      </w:r>
      <w:r>
        <w:rPr>
          <w:rFonts w:hint="eastAsia" w:ascii="宋体" w:hAnsi="宋体" w:cs="仿宋_GB2312"/>
          <w:sz w:val="24"/>
          <w:szCs w:val="24"/>
        </w:rPr>
        <w:t>）老生参评学年度课程考试有一门以上（含一门）不及格；</w:t>
      </w:r>
    </w:p>
    <w:p>
      <w:pPr>
        <w:widowControl/>
        <w:adjustRightInd w:val="0"/>
        <w:snapToGrid w:val="0"/>
        <w:spacing w:line="360" w:lineRule="auto"/>
        <w:ind w:firstLine="600" w:firstLineChars="250"/>
        <w:jc w:val="left"/>
        <w:rPr>
          <w:rFonts w:ascii="宋体" w:hAnsi="宋体"/>
          <w:sz w:val="24"/>
          <w:szCs w:val="24"/>
        </w:rPr>
      </w:pPr>
      <w:r>
        <w:rPr>
          <w:rFonts w:hint="eastAsia" w:ascii="宋体" w:hAnsi="宋体" w:cs="仿宋_GB2312"/>
          <w:sz w:val="24"/>
          <w:szCs w:val="24"/>
        </w:rPr>
        <w:t>（</w:t>
      </w:r>
      <w:r>
        <w:rPr>
          <w:rFonts w:ascii="宋体" w:hAnsi="宋体" w:cs="仿宋_GB2312"/>
          <w:sz w:val="24"/>
          <w:szCs w:val="24"/>
        </w:rPr>
        <w:t>6</w:t>
      </w:r>
      <w:r>
        <w:rPr>
          <w:rFonts w:hint="eastAsia" w:ascii="宋体" w:hAnsi="宋体" w:cs="仿宋_GB2312"/>
          <w:sz w:val="24"/>
          <w:szCs w:val="24"/>
        </w:rPr>
        <w:t>）休学、保留学籍及经学校批准复学不满半年；</w:t>
      </w:r>
    </w:p>
    <w:p>
      <w:pPr>
        <w:widowControl/>
        <w:adjustRightInd w:val="0"/>
        <w:snapToGrid w:val="0"/>
        <w:spacing w:line="360" w:lineRule="auto"/>
        <w:ind w:firstLine="600" w:firstLineChars="250"/>
        <w:jc w:val="left"/>
        <w:rPr>
          <w:rFonts w:ascii="宋体" w:hAnsi="宋体"/>
          <w:sz w:val="24"/>
          <w:szCs w:val="24"/>
        </w:rPr>
      </w:pPr>
      <w:r>
        <w:rPr>
          <w:rFonts w:hint="eastAsia" w:ascii="宋体" w:hAnsi="宋体" w:cs="仿宋_GB2312"/>
          <w:sz w:val="24"/>
          <w:szCs w:val="24"/>
        </w:rPr>
        <w:t>（7）申请评奖的研究成果存在明显争议者；</w:t>
      </w:r>
    </w:p>
    <w:p>
      <w:pPr>
        <w:widowControl/>
        <w:adjustRightInd w:val="0"/>
        <w:snapToGrid w:val="0"/>
        <w:spacing w:line="360" w:lineRule="auto"/>
        <w:ind w:firstLine="600" w:firstLineChars="250"/>
        <w:jc w:val="left"/>
        <w:rPr>
          <w:rFonts w:ascii="宋体" w:hAnsi="宋体"/>
          <w:sz w:val="24"/>
          <w:szCs w:val="24"/>
        </w:rPr>
      </w:pPr>
      <w:r>
        <w:rPr>
          <w:rFonts w:hint="eastAsia" w:ascii="宋体" w:hAnsi="宋体" w:cs="仿宋_GB2312"/>
          <w:sz w:val="24"/>
          <w:szCs w:val="24"/>
        </w:rPr>
        <w:t>（8）因各种原因退学。</w:t>
      </w:r>
    </w:p>
    <w:p>
      <w:pPr>
        <w:adjustRightInd w:val="0"/>
        <w:snapToGrid w:val="0"/>
        <w:spacing w:line="360" w:lineRule="auto"/>
        <w:ind w:firstLine="562" w:firstLineChars="200"/>
        <w:rPr>
          <w:rFonts w:ascii="宋体" w:hAnsi="宋体"/>
          <w:b/>
          <w:bCs/>
          <w:sz w:val="28"/>
          <w:szCs w:val="28"/>
        </w:rPr>
      </w:pPr>
      <w:r>
        <w:rPr>
          <w:rFonts w:hint="eastAsia" w:ascii="宋体" w:hAnsi="宋体" w:cs="仿宋_GB2312"/>
          <w:b/>
          <w:bCs/>
          <w:sz w:val="28"/>
          <w:szCs w:val="28"/>
        </w:rPr>
        <w:t>（二）具体申请条件</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具备以下条件之一者优先申报：</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第一、已获得当年校级研究生学业奖学金一等奖；</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第二、以第一作者发表SCI、EI收录论文，若出现共同第一作者的情况，仅排名第一有效；</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第三、高年级博士生，原则上要求有发表SCI、EI收录论文；延期毕业的博士生，要求有IF≧5.0或二区（大类）论文发表或有2篇EI收录论文发表；</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第四、高年级学术型硕士生有发表核心期刊论文的优先，高年级专业型硕士研究生有应用性研究成果的优先；</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第五、在全国性大学生高水平专业竞赛中取得较好名次，国家成绩优秀，科学研究、技术研发能力强，研究成果显著，社会公益活动表现突出。</w:t>
      </w:r>
    </w:p>
    <w:p>
      <w:pPr>
        <w:adjustRightInd w:val="0"/>
        <w:snapToGrid w:val="0"/>
        <w:spacing w:line="360" w:lineRule="auto"/>
        <w:ind w:firstLine="562" w:firstLineChars="200"/>
        <w:rPr>
          <w:rFonts w:ascii="宋体" w:hAnsi="宋体"/>
          <w:b/>
          <w:bCs/>
          <w:sz w:val="28"/>
          <w:szCs w:val="28"/>
        </w:rPr>
      </w:pPr>
      <w:r>
        <w:rPr>
          <w:rFonts w:hint="eastAsia" w:ascii="宋体" w:hAnsi="宋体" w:cs="黑体"/>
          <w:b/>
          <w:bCs/>
          <w:sz w:val="28"/>
          <w:szCs w:val="28"/>
        </w:rPr>
        <w:t>五、评选步骤</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1.接学校国家奖学金评选通知并确定学院评选名额后，组建学院国家奖学金评审委员会、学院参评材料初评小组，并公布名单。</w:t>
      </w:r>
    </w:p>
    <w:p>
      <w:pPr>
        <w:adjustRightInd w:val="0"/>
        <w:snapToGrid w:val="0"/>
        <w:spacing w:line="360" w:lineRule="auto"/>
        <w:ind w:firstLine="480" w:firstLineChars="200"/>
        <w:rPr>
          <w:rFonts w:ascii="宋体" w:hAnsi="宋体" w:cs="仿宋_GB2312"/>
          <w:sz w:val="24"/>
          <w:szCs w:val="24"/>
        </w:rPr>
      </w:pPr>
      <w:r>
        <w:rPr>
          <w:rFonts w:hint="eastAsia" w:ascii="宋体" w:hAnsi="宋体" w:cs="宋体"/>
          <w:kern w:val="0"/>
          <w:sz w:val="24"/>
          <w:szCs w:val="24"/>
        </w:rPr>
        <w:t>（1）</w:t>
      </w:r>
      <w:r>
        <w:rPr>
          <w:rFonts w:hint="eastAsia" w:ascii="宋体" w:hAnsi="宋体" w:cs="仿宋_GB2312"/>
          <w:sz w:val="24"/>
          <w:szCs w:val="24"/>
        </w:rPr>
        <w:t>学院国家奖学金评审委员会架构：</w:t>
      </w:r>
    </w:p>
    <w:p>
      <w:pPr>
        <w:adjustRightInd w:val="0"/>
        <w:snapToGrid w:val="0"/>
        <w:spacing w:line="360" w:lineRule="auto"/>
        <w:ind w:firstLine="480" w:firstLineChars="200"/>
        <w:rPr>
          <w:rFonts w:ascii="宋体" w:hAnsi="宋体"/>
          <w:kern w:val="0"/>
          <w:sz w:val="24"/>
          <w:szCs w:val="24"/>
        </w:rPr>
      </w:pPr>
      <w:r>
        <w:rPr>
          <w:rFonts w:hint="eastAsia" w:ascii="宋体" w:hAnsi="宋体" w:cs="宋体"/>
          <w:kern w:val="0"/>
          <w:sz w:val="24"/>
          <w:szCs w:val="24"/>
        </w:rPr>
        <w:t>组长：学院党委书记</w:t>
      </w:r>
    </w:p>
    <w:p>
      <w:pPr>
        <w:adjustRightInd w:val="0"/>
        <w:snapToGrid w:val="0"/>
        <w:spacing w:line="360" w:lineRule="auto"/>
        <w:ind w:firstLine="480" w:firstLineChars="200"/>
        <w:rPr>
          <w:rFonts w:ascii="宋体" w:hAnsi="宋体"/>
          <w:kern w:val="0"/>
          <w:sz w:val="24"/>
          <w:szCs w:val="24"/>
        </w:rPr>
      </w:pPr>
      <w:r>
        <w:rPr>
          <w:rFonts w:hint="eastAsia" w:ascii="宋体" w:hAnsi="宋体" w:cs="宋体"/>
          <w:kern w:val="0"/>
          <w:sz w:val="24"/>
          <w:szCs w:val="24"/>
        </w:rPr>
        <w:t>副组长：分管研究生副院长、党委副书记</w:t>
      </w:r>
    </w:p>
    <w:p>
      <w:pPr>
        <w:adjustRightInd w:val="0"/>
        <w:snapToGrid w:val="0"/>
        <w:spacing w:line="360" w:lineRule="auto"/>
        <w:ind w:firstLine="480" w:firstLineChars="200"/>
        <w:rPr>
          <w:rFonts w:ascii="宋体" w:hAnsi="宋体"/>
          <w:sz w:val="24"/>
          <w:szCs w:val="24"/>
        </w:rPr>
      </w:pPr>
      <w:r>
        <w:rPr>
          <w:rFonts w:hint="eastAsia" w:ascii="宋体" w:hAnsi="宋体" w:cs="宋体"/>
          <w:kern w:val="0"/>
          <w:sz w:val="24"/>
          <w:szCs w:val="24"/>
        </w:rPr>
        <w:t>组员：学院领导班子成员、导师代表（1名）、负责研究生学生工作的辅导员、负责研究生教务的教务员、研究生代表（1名）</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（2）学院参评材料初评小组架构：</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组长：学院党委副书记</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副组长：负责研究生学生工作的辅导员</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组员：学院研究生党支部副书记、各研究生班班长、团支书</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2.由学院参评材料初评小组发布通知，各有意申报国家奖学金的研究生提交其“思想品德、社会实践、文体活动及其它”类别的荣誉。学生需在通知规定的截止日期前进行申报，进行不少于3个工作日的公示后，一律不再接受任何补充材料，公示结果作为后续评审的材料依据。</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3.个人申请</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仿宋_GB2312"/>
          <w:sz w:val="24"/>
          <w:szCs w:val="24"/>
        </w:rPr>
        <w:t>由研究生本人在正常学制年限内，如实填写《研究生国家奖学金申请审批表》及相关表格，向学院国家奖学金评审委员会提出申请。未按时提交申请的，视为自动放弃申请国家奖学金。</w:t>
      </w:r>
    </w:p>
    <w:p>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w:t>
      </w:r>
      <w:r>
        <w:rPr>
          <w:rFonts w:hint="eastAsia" w:ascii="宋体" w:hAnsi="宋体" w:cs="仿宋_GB2312"/>
          <w:sz w:val="24"/>
          <w:szCs w:val="24"/>
        </w:rPr>
        <w:t>学院初评</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按照公开、公平、公正、择优的原则，由</w:t>
      </w:r>
      <w:r>
        <w:rPr>
          <w:rFonts w:hint="eastAsia" w:ascii="宋体" w:hAnsi="宋体" w:cs="宋体"/>
          <w:kern w:val="0"/>
          <w:sz w:val="24"/>
          <w:szCs w:val="24"/>
        </w:rPr>
        <w:t>学院参评材料初评小组依据本办法的相应细则，</w:t>
      </w:r>
      <w:r>
        <w:rPr>
          <w:rFonts w:hint="eastAsia" w:ascii="宋体" w:hAnsi="宋体" w:cs="仿宋_GB2312"/>
          <w:sz w:val="24"/>
          <w:szCs w:val="24"/>
        </w:rPr>
        <w:t>对申请材料进行初评。初评结果提交学院国家奖学金评审委员会审核后，进行不少于5个工作日的公示，公示无异议后将相关材料和汇总表上报学校评审领导小组。</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5.学院国家奖学金评审委员会审核</w:t>
      </w:r>
    </w:p>
    <w:p>
      <w:pPr>
        <w:adjustRightInd w:val="0"/>
        <w:snapToGrid w:val="0"/>
        <w:spacing w:line="360" w:lineRule="auto"/>
        <w:ind w:firstLine="480" w:firstLineChars="200"/>
        <w:rPr>
          <w:rFonts w:ascii="宋体" w:hAnsi="宋体" w:cs="仿宋_GB2312"/>
          <w:sz w:val="24"/>
          <w:szCs w:val="24"/>
        </w:rPr>
      </w:pPr>
      <w:r>
        <w:rPr>
          <w:rFonts w:hint="eastAsia" w:ascii="宋体" w:hAnsi="宋体" w:cs="宋体"/>
          <w:kern w:val="0"/>
          <w:sz w:val="24"/>
          <w:szCs w:val="24"/>
        </w:rPr>
        <w:t>学院参评材料初评小组</w:t>
      </w:r>
      <w:r>
        <w:rPr>
          <w:rFonts w:hint="eastAsia" w:ascii="宋体" w:hAnsi="宋体" w:cs="仿宋_GB2312"/>
          <w:sz w:val="24"/>
          <w:szCs w:val="24"/>
        </w:rPr>
        <w:t>初评结果提交学院国家奖学金评审委员会审核，方可公示、上报。若</w:t>
      </w:r>
      <w:r>
        <w:rPr>
          <w:rFonts w:hint="eastAsia" w:ascii="宋体" w:hAnsi="宋体" w:cs="宋体"/>
          <w:kern w:val="0"/>
          <w:sz w:val="24"/>
          <w:szCs w:val="24"/>
        </w:rPr>
        <w:t>初评小组无法评出候选者，或</w:t>
      </w:r>
      <w:r>
        <w:rPr>
          <w:rFonts w:hint="eastAsia" w:ascii="宋体" w:hAnsi="宋体" w:cs="仿宋_GB2312"/>
          <w:sz w:val="24"/>
          <w:szCs w:val="24"/>
        </w:rPr>
        <w:t>初评结果在评审委员会审核不通过，则启动申请者答辩程序；若初评当年没有符合条件的申请者，则由评审委员会审核决定当年指标是否继续累积至下一年。</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6.学校评审</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学院将评审结果提交给学校评审领导小组审定，审定结果在全校范围内按学校文件要求进行公示。</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7.申诉处理</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在学院公示阶段，如研究生对国家奖学金评审结果有异议的，可在学院公示期间向学院国家奖学金评审委员会提出申诉。在学校公示阶段有异议的，可在全校公示期间提请学校评审领导小组裁决。</w:t>
      </w:r>
    </w:p>
    <w:p>
      <w:pPr>
        <w:adjustRightInd w:val="0"/>
        <w:snapToGrid w:val="0"/>
        <w:spacing w:line="360" w:lineRule="auto"/>
        <w:ind w:firstLine="562" w:firstLineChars="200"/>
        <w:rPr>
          <w:rFonts w:ascii="宋体" w:hAnsi="宋体"/>
          <w:sz w:val="28"/>
          <w:szCs w:val="28"/>
        </w:rPr>
      </w:pPr>
      <w:r>
        <w:rPr>
          <w:rFonts w:hint="eastAsia" w:ascii="宋体" w:hAnsi="宋体" w:cs="黑体"/>
          <w:b/>
          <w:bCs/>
          <w:sz w:val="28"/>
          <w:szCs w:val="28"/>
        </w:rPr>
        <w:t>六、评选要求</w:t>
      </w:r>
    </w:p>
    <w:p>
      <w:pPr>
        <w:adjustRightInd w:val="0"/>
        <w:snapToGrid w:val="0"/>
        <w:spacing w:line="360" w:lineRule="auto"/>
        <w:ind w:firstLine="480" w:firstLineChars="200"/>
        <w:rPr>
          <w:rFonts w:ascii="宋体" w:hAnsi="宋体" w:cs="仿宋_GB2312"/>
          <w:sz w:val="24"/>
          <w:szCs w:val="24"/>
        </w:rPr>
      </w:pPr>
      <w:r>
        <w:rPr>
          <w:rFonts w:ascii="宋体" w:hAnsi="宋体" w:cs="仿宋_GB2312"/>
          <w:sz w:val="24"/>
          <w:szCs w:val="24"/>
        </w:rPr>
        <w:t>1.</w:t>
      </w:r>
      <w:r>
        <w:rPr>
          <w:rFonts w:hint="eastAsia" w:ascii="宋体" w:hAnsi="宋体" w:cs="仿宋_GB2312"/>
          <w:sz w:val="24"/>
          <w:szCs w:val="24"/>
        </w:rPr>
        <w:t>参评研究成果界定。</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参评研究成果必须以“华南农业大学（South China Agricultural University）”为第一署名单位。署名导师必须为华南农业大学发文聘任的研究生导师。</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（1）著作是指取得</w:t>
      </w:r>
      <w:r>
        <w:rPr>
          <w:rFonts w:ascii="宋体" w:hAnsi="宋体" w:cs="仿宋_GB2312"/>
          <w:sz w:val="24"/>
          <w:szCs w:val="24"/>
        </w:rPr>
        <w:t>ISBN</w:t>
      </w:r>
      <w:r>
        <w:rPr>
          <w:rFonts w:hint="eastAsia" w:ascii="宋体" w:hAnsi="宋体" w:cs="仿宋_GB2312"/>
          <w:sz w:val="24"/>
          <w:szCs w:val="24"/>
        </w:rPr>
        <w:t>统一书号、公开出版发行的本专业学术专著、编著、高校教材、译著、工具书、科普著作。作者原则上以著作封面或书名页（主书名页和附书名页）标明为准。作者排名第一位或主编认定为第一作者；作者排名第二位或副主编排名第一位认定为第二作者，依次类推；著作封面作者处无具名或排名在副主编以后认定为参编者。未具名于著作封面或书名页（主书名页和附书名页）、前言的，不予认定。</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（2）论文是指在国内外公开发行的本专业学术刊物上发表的学术论文。在学术刊物的“增刊、特刊、专刊、专辑”上发表的论文以及被论文集收录的论文（被</w:t>
      </w:r>
      <w:r>
        <w:rPr>
          <w:rFonts w:ascii="宋体" w:hAnsi="宋体" w:cs="仿宋_GB2312"/>
          <w:sz w:val="24"/>
          <w:szCs w:val="24"/>
        </w:rPr>
        <w:t>SCI</w:t>
      </w:r>
      <w:r>
        <w:rPr>
          <w:rFonts w:hint="eastAsia" w:ascii="宋体" w:hAnsi="宋体" w:cs="仿宋_GB2312"/>
          <w:sz w:val="24"/>
          <w:szCs w:val="24"/>
        </w:rPr>
        <w:t>、</w:t>
      </w:r>
      <w:r>
        <w:rPr>
          <w:rFonts w:ascii="宋体" w:hAnsi="宋体" w:cs="仿宋_GB2312"/>
          <w:sz w:val="24"/>
          <w:szCs w:val="24"/>
        </w:rPr>
        <w:t>EI</w:t>
      </w:r>
      <w:r>
        <w:rPr>
          <w:rFonts w:hint="eastAsia" w:ascii="宋体" w:hAnsi="宋体" w:cs="仿宋_GB2312"/>
          <w:sz w:val="24"/>
          <w:szCs w:val="24"/>
        </w:rPr>
        <w:t>等索引全文收录的除外）均不计数量。录用通知、清样、出版证明均不能按已发表计算。</w:t>
      </w:r>
    </w:p>
    <w:p>
      <w:pPr>
        <w:adjustRightInd w:val="0"/>
        <w:snapToGrid w:val="0"/>
        <w:spacing w:line="360" w:lineRule="auto"/>
        <w:ind w:firstLine="480" w:firstLineChars="200"/>
        <w:rPr>
          <w:rFonts w:ascii="宋体" w:hAnsi="宋体" w:cs="仿宋_GB2312"/>
          <w:sz w:val="24"/>
          <w:szCs w:val="24"/>
        </w:rPr>
      </w:pPr>
      <w:r>
        <w:rPr>
          <w:rFonts w:ascii="宋体" w:hAnsi="宋体" w:cs="仿宋_GB2312"/>
          <w:sz w:val="24"/>
          <w:szCs w:val="24"/>
        </w:rPr>
        <w:t>SCI</w:t>
      </w:r>
      <w:r>
        <w:rPr>
          <w:rFonts w:hint="eastAsia" w:ascii="宋体" w:hAnsi="宋体" w:cs="仿宋_GB2312"/>
          <w:sz w:val="24"/>
          <w:szCs w:val="24"/>
        </w:rPr>
        <w:t>、</w:t>
      </w:r>
      <w:r>
        <w:rPr>
          <w:rFonts w:ascii="宋体" w:hAnsi="宋体" w:cs="仿宋_GB2312"/>
          <w:sz w:val="24"/>
          <w:szCs w:val="24"/>
        </w:rPr>
        <w:t>EI</w:t>
      </w:r>
      <w:r>
        <w:rPr>
          <w:rFonts w:hint="eastAsia" w:ascii="宋体" w:hAnsi="宋体" w:cs="仿宋_GB2312"/>
          <w:sz w:val="24"/>
          <w:szCs w:val="24"/>
        </w:rPr>
        <w:t>收录的正式刊物论文，以华南农业大学图书馆出具的最新收录证明、检索报告为准。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中文核心期刊以北京大学出版社《中文核心期刊要目总览》最新版（参考华南农业大学人事处同期教师职称论文评审等级所用版本）为准，</w:t>
      </w:r>
      <w:r>
        <w:rPr>
          <w:rFonts w:ascii="宋体" w:hAnsi="宋体" w:cs="仿宋_GB2312"/>
          <w:sz w:val="24"/>
          <w:szCs w:val="24"/>
        </w:rPr>
        <w:t>CSSCI</w:t>
      </w:r>
      <w:r>
        <w:rPr>
          <w:rFonts w:hint="eastAsia" w:ascii="宋体" w:hAnsi="宋体" w:cs="仿宋_GB2312"/>
          <w:sz w:val="24"/>
          <w:szCs w:val="24"/>
        </w:rPr>
        <w:t>期刊以中文社会科学引文索引（</w:t>
      </w:r>
      <w:r>
        <w:rPr>
          <w:rFonts w:ascii="宋体" w:hAnsi="宋体" w:cs="仿宋_GB2312"/>
          <w:sz w:val="24"/>
          <w:szCs w:val="24"/>
        </w:rPr>
        <w:t>CSSCI</w:t>
      </w:r>
      <w:r>
        <w:rPr>
          <w:rFonts w:hint="eastAsia" w:ascii="宋体" w:hAnsi="宋体" w:cs="仿宋_GB2312"/>
          <w:sz w:val="24"/>
          <w:szCs w:val="24"/>
        </w:rPr>
        <w:t>最新版</w:t>
      </w:r>
      <w:r>
        <w:rPr>
          <w:rFonts w:ascii="宋体" w:hAnsi="宋体" w:cs="仿宋_GB2312"/>
          <w:sz w:val="24"/>
          <w:szCs w:val="24"/>
        </w:rPr>
        <w:t>)</w:t>
      </w:r>
      <w:r>
        <w:rPr>
          <w:rFonts w:hint="eastAsia" w:ascii="宋体" w:hAnsi="宋体" w:cs="仿宋_GB2312"/>
          <w:sz w:val="24"/>
          <w:szCs w:val="24"/>
        </w:rPr>
        <w:t>来源期刊为准。中文一级核心期刊指最新中国科技期刊引证报告期刊影响因子排名前</w:t>
      </w:r>
      <w:r>
        <w:rPr>
          <w:rFonts w:ascii="宋体" w:hAnsi="宋体" w:cs="仿宋_GB2312"/>
          <w:sz w:val="24"/>
          <w:szCs w:val="24"/>
        </w:rPr>
        <w:t>150</w:t>
      </w:r>
      <w:r>
        <w:rPr>
          <w:rFonts w:hint="eastAsia" w:ascii="宋体" w:hAnsi="宋体" w:cs="仿宋_GB2312"/>
          <w:sz w:val="24"/>
          <w:szCs w:val="24"/>
        </w:rPr>
        <w:t>名的学术刊物、最新版北大中文核心期刊（参考华南农业大学人事处同期教师职称论文评审等级所用版本）按学科分类排名在前</w:t>
      </w:r>
      <w:r>
        <w:rPr>
          <w:rFonts w:ascii="宋体" w:hAnsi="宋体" w:cs="仿宋_GB2312"/>
          <w:sz w:val="24"/>
          <w:szCs w:val="24"/>
        </w:rPr>
        <w:t>25%</w:t>
      </w:r>
      <w:r>
        <w:rPr>
          <w:rFonts w:hint="eastAsia" w:ascii="宋体" w:hAnsi="宋体" w:cs="仿宋_GB2312"/>
          <w:sz w:val="24"/>
          <w:szCs w:val="24"/>
        </w:rPr>
        <w:t>以内名次的学术刊物、人民日报理论版、光明日报理论版、人大复印报刊资料、中国社会科学文摘、新华文摘。中文二级核心期刊指最新中国科技期刊引证报告期刊影响因子排名</w:t>
      </w:r>
      <w:r>
        <w:rPr>
          <w:rFonts w:ascii="宋体" w:hAnsi="宋体" w:cs="仿宋_GB2312"/>
          <w:sz w:val="24"/>
          <w:szCs w:val="24"/>
        </w:rPr>
        <w:t>151</w:t>
      </w:r>
      <w:r>
        <w:rPr>
          <w:rFonts w:hint="eastAsia" w:ascii="宋体" w:hAnsi="宋体" w:cs="仿宋_GB2312"/>
          <w:sz w:val="24"/>
          <w:szCs w:val="24"/>
        </w:rPr>
        <w:t>－</w:t>
      </w:r>
      <w:r>
        <w:rPr>
          <w:rFonts w:ascii="宋体" w:hAnsi="宋体" w:cs="仿宋_GB2312"/>
          <w:sz w:val="24"/>
          <w:szCs w:val="24"/>
        </w:rPr>
        <w:t>500</w:t>
      </w:r>
      <w:r>
        <w:rPr>
          <w:rFonts w:hint="eastAsia" w:ascii="宋体" w:hAnsi="宋体" w:cs="仿宋_GB2312"/>
          <w:sz w:val="24"/>
          <w:szCs w:val="24"/>
        </w:rPr>
        <w:t>名的学术刊物、最新版北大中文核心期刊（参考华南农业大学人事处同期教师职称论文评审等级所用版本）按学科分类排名在</w:t>
      </w:r>
      <w:r>
        <w:rPr>
          <w:rFonts w:ascii="宋体" w:hAnsi="宋体" w:cs="仿宋_GB2312"/>
          <w:sz w:val="24"/>
          <w:szCs w:val="24"/>
        </w:rPr>
        <w:t>25%</w:t>
      </w:r>
      <w:r>
        <w:rPr>
          <w:rFonts w:hint="eastAsia" w:ascii="宋体" w:hAnsi="宋体" w:cs="仿宋_GB2312"/>
          <w:sz w:val="24"/>
          <w:szCs w:val="24"/>
        </w:rPr>
        <w:t>以后名次的学术刊物、南方日报理论版。</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一般学术刊物指除以上说明外，国内外公开发行的其他学术刊物、非核心期刊论文。</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论文须提供期刊封面、目录及正文复印件。</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3）发明专利原则上以国家公布时间为准，鉴于批准周期长的原因，发明专利可以参考收到实审通知时间为准，须提供国家知识产权局提供的专利申请受理通知书，实审通知时间以查询国家知识产权局中国及多国专利审查信息查询系统所得为准；实用新型、外观设计专利和软件著作权以专利授权公布时间为准，须提供国家知识产权局颁发的专利权授予证书复印件，并可在国家知识产权局中国及多国专利审查信息查询系统查证。参评研究成果必须以“华南农业大学”为第一署名单位。1名导师只占一个作者位置，2名导师或其他作者排序在前，不能视作学生为第二作者，应按实际排位顺序认定。</w:t>
      </w:r>
    </w:p>
    <w:p>
      <w:pPr>
        <w:widowControl/>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2.荣誉级别界定。所获荣誉的级别分为国家级及以上、省级、校（市）级、院级，国家级及以上荣誉由国家部委及以上单位表彰并加盖相关部门公章，省级荣誉由省（自治区、直辖市）政府及厅（局、委、办）、省级事业单位表彰并加盖相关部门公章，市级荣誉由市政府及局（委、办）、市级事业单位表彰并加盖相关部门公章，校级荣誉由学校各部处表彰并加盖学校行政章、学校党委章、各部处公章或学校团委章，院级荣誉由学院表彰并加盖学院行政章、学院党委章或学院团委章。各级荣誉应有证书证明，并有明确的落款单位、盖章和日期。证书缺盖相应级别公章的，经查实确有其事的，降一级认定；行业内、系统内表彰的，按市级荣誉认定；校级组织或院级组织经学校相关部处批准、举行的全校及以上范围的比赛所表彰的，除有特殊说明外，按校级荣誉认定；校级组织内部表彰、院级组织表彰和已在民政部门登记的社会组织、机构表彰的，按院级荣誉认定；已在民政部门登记的社会组织、机构表彰，该组织、机构有双重级别的，该荣誉按最高级别认定；企业内部及未登记的社会组织、机构表彰，不予认定。</w:t>
      </w:r>
    </w:p>
    <w:p>
      <w:pPr>
        <w:widowControl/>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因同一项目、活动、比赛、作品、社会工作等在同一评优周期内获得多次表彰的，不累计加分，只取最高分。已获得“优秀研究生（干部）奖学金”、“优秀硕士毕业论文奖”、“研究生学业奖学金”、“国家奖学金”、企业或实验室设立的奖助学金等设有奖励金的项目，不纳入荣誉加分范畴。</w:t>
      </w:r>
    </w:p>
    <w:p>
      <w:pPr>
        <w:widowControl/>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3.学科竞赛界定。学科竞赛一般指由省级及以上省级行政管理部门、党团组织、学会、协会、学校、学院等主办的基础学科、专业技术应用和发明创新相关的竞赛。竞赛获奖应提供加盖相关部门公章的获奖证书，并有明确的落款单位和日期。</w:t>
      </w:r>
    </w:p>
    <w:p>
      <w:pPr>
        <w:widowControl/>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4</w:t>
      </w:r>
      <w:r>
        <w:rPr>
          <w:rFonts w:ascii="宋体" w:hAnsi="宋体" w:cs="仿宋_GB2312"/>
          <w:sz w:val="24"/>
          <w:szCs w:val="24"/>
        </w:rPr>
        <w:t>.</w:t>
      </w:r>
      <w:r>
        <w:rPr>
          <w:rFonts w:hint="eastAsia" w:ascii="宋体" w:hAnsi="宋体" w:cs="仿宋_GB2312"/>
          <w:sz w:val="24"/>
          <w:szCs w:val="24"/>
        </w:rPr>
        <w:t>参评研究成果时间界定。经学校批准，我学院国家奖学金指标累计制评选，不一定按年度开展，故研究成果采取累计制计算。在校期间未获得研究生国家奖学金的申请者，其科研成果有效期按入学时间起算；已获得研究生国家奖学金的申请者，其科研成果的有效期按上次评奖时间起算。</w:t>
      </w:r>
    </w:p>
    <w:p>
      <w:pPr>
        <w:widowControl/>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基本修业年限内研究生可多次获得研究生国家奖学金，但同一研究成果不得跨周期重复使用。</w:t>
      </w:r>
    </w:p>
    <w:p>
      <w:pPr>
        <w:widowControl/>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国家奖学金的评审工作要杜绝弄虚作假和其它违反校规校纪的行为。学校一经发现，违反者将立即取消其已获得的荣誉证书、奖学金及其以后在读期间的一切评优资格，并根据《华南农业大学研究生国家奖学金评选办法》（华农党发〔2014〕20号）、《华南农业大学学生违纪处分实施办法》（华南农办〔</w:t>
      </w:r>
      <w:r>
        <w:rPr>
          <w:rFonts w:ascii="宋体" w:hAnsi="宋体" w:cs="仿宋_GB2312"/>
          <w:sz w:val="24"/>
          <w:szCs w:val="24"/>
        </w:rPr>
        <w:t>201</w:t>
      </w:r>
      <w:r>
        <w:rPr>
          <w:rFonts w:hint="eastAsia" w:ascii="宋体" w:hAnsi="宋体" w:cs="仿宋_GB2312"/>
          <w:sz w:val="24"/>
          <w:szCs w:val="24"/>
        </w:rPr>
        <w:t>7〕101号）的规定给予严肃处理。</w:t>
      </w:r>
    </w:p>
    <w:p>
      <w:pPr>
        <w:widowControl/>
        <w:adjustRightInd w:val="0"/>
        <w:snapToGrid w:val="0"/>
        <w:spacing w:line="360" w:lineRule="auto"/>
        <w:ind w:firstLine="480" w:firstLineChars="200"/>
        <w:rPr>
          <w:rFonts w:ascii="宋体" w:hAnsi="宋体"/>
          <w:sz w:val="24"/>
          <w:szCs w:val="24"/>
        </w:rPr>
      </w:pPr>
    </w:p>
    <w:p>
      <w:pPr>
        <w:adjustRightInd w:val="0"/>
        <w:snapToGrid w:val="0"/>
        <w:spacing w:before="100" w:beforeAutospacing="1" w:after="100" w:afterAutospacing="1"/>
        <w:jc w:val="center"/>
        <w:rPr>
          <w:rFonts w:ascii="宋体" w:hAnsi="宋体" w:cs="黑体"/>
          <w:b/>
          <w:bCs/>
          <w:sz w:val="28"/>
          <w:szCs w:val="28"/>
        </w:rPr>
      </w:pPr>
      <w:r>
        <w:rPr>
          <w:rFonts w:hint="eastAsia" w:ascii="宋体" w:hAnsi="宋体" w:cs="黑体"/>
          <w:b/>
          <w:bCs/>
          <w:sz w:val="28"/>
          <w:szCs w:val="28"/>
        </w:rPr>
        <w:t>第二部分  硕士研究生参评材料评分细则</w:t>
      </w:r>
    </w:p>
    <w:p>
      <w:pPr>
        <w:adjustRightInd w:val="0"/>
        <w:snapToGrid w:val="0"/>
        <w:spacing w:line="360" w:lineRule="auto"/>
        <w:ind w:firstLine="562" w:firstLineChars="200"/>
        <w:rPr>
          <w:rFonts w:ascii="宋体" w:hAnsi="宋体"/>
          <w:b/>
          <w:bCs/>
          <w:sz w:val="28"/>
          <w:szCs w:val="28"/>
        </w:rPr>
      </w:pPr>
      <w:r>
        <w:rPr>
          <w:rFonts w:hint="eastAsia" w:ascii="宋体" w:hAnsi="宋体" w:cs="仿宋_GB2312"/>
          <w:b/>
          <w:bCs/>
          <w:sz w:val="28"/>
          <w:szCs w:val="28"/>
        </w:rPr>
        <w:t>一、思想品德、社会实践、文体活动及其它（20</w:t>
      </w:r>
      <w:r>
        <w:rPr>
          <w:rFonts w:ascii="宋体" w:hAnsi="宋体" w:cs="仿宋_GB2312"/>
          <w:b/>
          <w:bCs/>
          <w:sz w:val="28"/>
          <w:szCs w:val="28"/>
        </w:rPr>
        <w:t>%</w:t>
      </w:r>
      <w:r>
        <w:rPr>
          <w:rFonts w:hint="eastAsia" w:ascii="宋体" w:hAnsi="宋体" w:cs="仿宋_GB2312"/>
          <w:b/>
          <w:bCs/>
          <w:sz w:val="28"/>
          <w:szCs w:val="28"/>
        </w:rPr>
        <w:t>）</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1.思想品德分，同年级同学对申请者思想素质、学术道德、纪律作风、集体活动参与度等方面进行评分，去除最高、最低分后，取平均分，满分30分。</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此项由</w:t>
      </w:r>
      <w:r>
        <w:rPr>
          <w:rFonts w:hint="eastAsia" w:ascii="宋体" w:hAnsi="宋体" w:cs="宋体"/>
          <w:kern w:val="0"/>
          <w:sz w:val="24"/>
          <w:szCs w:val="24"/>
        </w:rPr>
        <w:t>学院参评材料初评小组组织完成并在学院范围内公示。</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2.社会实践加分，上限30分，具体加分细则如下：</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①担任院级以上（含院级）学生干部工作任期满一届，能较好地完成本职工作，加12分；</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②担任院级以下学生干部工作满一届，尽职尽责，加10分；</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③校院各级研究生组织干事工作任期满一届，尽职尽责，加8分；</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兼任数项工作者，按最高得分项加分，不重复加分</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④参加院级以上（含院级）“三下乡”或同类型下乡调研活动，加5分</w:t>
      </w:r>
      <w:r>
        <w:rPr>
          <w:rFonts w:ascii="宋体" w:hAnsi="宋体" w:cs="仿宋_GB2312"/>
          <w:sz w:val="24"/>
          <w:szCs w:val="24"/>
        </w:rPr>
        <w:t>/</w:t>
      </w:r>
      <w:r>
        <w:rPr>
          <w:rFonts w:hint="eastAsia" w:ascii="宋体" w:hAnsi="宋体" w:cs="仿宋_GB2312"/>
          <w:sz w:val="24"/>
          <w:szCs w:val="24"/>
        </w:rPr>
        <w:t>次；</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⑤参加院级以上（含院级）志愿服务活动者，代表学院、学校参加各类文艺活动、体育比赛者，自愿献血等，加分1分</w:t>
      </w:r>
      <w:r>
        <w:rPr>
          <w:rFonts w:ascii="宋体" w:hAnsi="宋体" w:cs="仿宋_GB2312"/>
          <w:sz w:val="24"/>
          <w:szCs w:val="24"/>
        </w:rPr>
        <w:t>/</w:t>
      </w:r>
      <w:r>
        <w:rPr>
          <w:rFonts w:hint="eastAsia" w:ascii="宋体" w:hAnsi="宋体" w:cs="仿宋_GB2312"/>
          <w:sz w:val="24"/>
          <w:szCs w:val="24"/>
        </w:rPr>
        <w:t>次，上限10分。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以上加分项均需提供相关证明。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cs="仿宋_GB2312"/>
          <w:sz w:val="24"/>
          <w:szCs w:val="24"/>
        </w:rPr>
        <w:t>获得本部分内容相关的荣誉加分，上限40分，具体加分细则如下：</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个人获得院级荣誉，最高等级荣誉加6分/项，次等荣誉加4分/项，依次递减至1分/项（第四等级及以下荣誉）；</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个人获得校（市）级荣誉，最高等级荣誉加8分</w:t>
      </w:r>
      <w:r>
        <w:rPr>
          <w:rFonts w:ascii="宋体" w:hAnsi="宋体" w:cs="仿宋_GB2312"/>
          <w:sz w:val="24"/>
          <w:szCs w:val="24"/>
        </w:rPr>
        <w:t>/</w:t>
      </w:r>
      <w:r>
        <w:rPr>
          <w:rFonts w:hint="eastAsia" w:ascii="宋体" w:hAnsi="宋体" w:cs="仿宋_GB2312"/>
          <w:sz w:val="24"/>
          <w:szCs w:val="24"/>
        </w:rPr>
        <w:t>项，次等荣誉加6分/项，依次递减至2分/项（第四等级及以下荣誉）；</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个人获得省级荣誉，最高等级荣誉加10分</w:t>
      </w:r>
      <w:r>
        <w:rPr>
          <w:rFonts w:ascii="宋体" w:hAnsi="宋体" w:cs="仿宋_GB2312"/>
          <w:sz w:val="24"/>
          <w:szCs w:val="24"/>
        </w:rPr>
        <w:t>/</w:t>
      </w:r>
      <w:r>
        <w:rPr>
          <w:rFonts w:hint="eastAsia" w:ascii="宋体" w:hAnsi="宋体" w:cs="仿宋_GB2312"/>
          <w:sz w:val="24"/>
          <w:szCs w:val="24"/>
        </w:rPr>
        <w:t>项，次等荣誉加8分/项，依次递减至4分/项（第四等级及以下荣誉）；</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个人获得国家级及以上荣誉加15分</w:t>
      </w:r>
      <w:r>
        <w:rPr>
          <w:rFonts w:ascii="宋体" w:hAnsi="宋体" w:cs="仿宋_GB2312"/>
          <w:sz w:val="24"/>
          <w:szCs w:val="24"/>
        </w:rPr>
        <w:t>/</w:t>
      </w:r>
      <w:r>
        <w:rPr>
          <w:rFonts w:hint="eastAsia" w:ascii="宋体" w:hAnsi="宋体" w:cs="仿宋_GB2312"/>
          <w:sz w:val="24"/>
          <w:szCs w:val="24"/>
        </w:rPr>
        <w:t>项，次等荣誉加12分/项，依次递减至6分/项（第四等级及以下荣誉）。</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获得团体荣誉，按相应级别折半加分。多项活动可以累计加分。</w:t>
      </w:r>
    </w:p>
    <w:p>
      <w:pPr>
        <w:widowControl/>
        <w:adjustRightInd w:val="0"/>
        <w:snapToGrid w:val="0"/>
        <w:spacing w:line="360" w:lineRule="auto"/>
        <w:ind w:firstLine="562" w:firstLineChars="200"/>
        <w:jc w:val="left"/>
        <w:rPr>
          <w:rFonts w:ascii="宋体" w:hAnsi="宋体"/>
          <w:b/>
          <w:bCs/>
          <w:sz w:val="28"/>
          <w:szCs w:val="28"/>
        </w:rPr>
      </w:pPr>
      <w:r>
        <w:rPr>
          <w:rFonts w:hint="eastAsia" w:ascii="宋体" w:hAnsi="宋体" w:cs="仿宋_GB2312"/>
          <w:b/>
          <w:bCs/>
          <w:sz w:val="28"/>
          <w:szCs w:val="28"/>
        </w:rPr>
        <w:t>二、学习成绩（20%）</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该部分由学生成绩折算而成。二年级研究生平均成绩以第一、二学期培养计划规定的当学期全部课程计算。三年级研究生平均成绩以培养计划规定全部修读课程计算。硕士生第二学期英语以综合成绩计算。</w:t>
      </w:r>
    </w:p>
    <w:p>
      <w:pPr>
        <w:adjustRightInd w:val="0"/>
        <w:snapToGrid w:val="0"/>
        <w:spacing w:line="360" w:lineRule="auto"/>
        <w:ind w:firstLine="480" w:firstLineChars="200"/>
        <w:rPr>
          <w:sz w:val="24"/>
          <w:szCs w:val="24"/>
        </w:rPr>
      </w:pPr>
      <w:r>
        <w:rPr>
          <w:rFonts w:hint="eastAsia" w:ascii="宋体" w:hAnsi="宋体" w:cs="仿宋_GB2312"/>
          <w:sz w:val="24"/>
          <w:szCs w:val="24"/>
        </w:rPr>
        <w:t>全部课</w:t>
      </w:r>
      <w:r>
        <w:rPr>
          <w:rFonts w:hAnsi="宋体"/>
          <w:sz w:val="24"/>
          <w:szCs w:val="24"/>
        </w:rPr>
        <w:t>程平均成绩</w:t>
      </w:r>
      <m:oMath>
        <m:r>
          <m:rPr>
            <m:sty m:val="p"/>
          </m:rPr>
          <w:rPr>
            <w:rFonts w:ascii="Cambria Math"/>
            <w:sz w:val="24"/>
            <w:szCs w:val="24"/>
          </w:rPr>
          <m:t>M</m:t>
        </m:r>
      </m:oMath>
      <w:r>
        <w:rPr>
          <w:sz w:val="24"/>
          <w:szCs w:val="24"/>
        </w:rPr>
        <w:t xml:space="preserve"> </w:t>
      </w:r>
      <w:r>
        <w:rPr>
          <w:rFonts w:hAnsi="宋体"/>
          <w:sz w:val="24"/>
          <w:szCs w:val="24"/>
        </w:rPr>
        <w:t>计算公式：</w:t>
      </w:r>
    </w:p>
    <w:p>
      <w:pPr>
        <w:adjustRightInd w:val="0"/>
        <w:snapToGrid w:val="0"/>
        <w:spacing w:before="100" w:beforeAutospacing="1" w:after="100" w:afterAutospacing="1" w:line="360" w:lineRule="auto"/>
        <w:ind w:firstLine="480" w:firstLineChars="200"/>
        <w:jc w:val="center"/>
        <w:rPr>
          <w:i/>
          <w:sz w:val="24"/>
          <w:szCs w:val="24"/>
        </w:rPr>
      </w:pPr>
      <m:oMathPara>
        <m:oMath>
          <m:r>
            <w:rPr>
              <w:rFonts w:ascii="Cambria Math" w:hAnsi="Cambria Math"/>
              <w:sz w:val="24"/>
              <w:szCs w:val="24"/>
            </w:rPr>
            <m:t>全部课程平均成绩</m:t>
          </m:r>
          <m:r>
            <w:rPr>
              <w:rFonts w:ascii="Cambria Math"/>
              <w:sz w:val="24"/>
              <w:szCs w:val="24"/>
            </w:rPr>
            <m:t>M=</m:t>
          </m:r>
          <m:f>
            <m:fPr>
              <m:type m:val="lin"/>
              <m:ctrlPr>
                <w:rPr>
                  <w:rFonts w:ascii="Cambria Math" w:hAnsi="Cambria Math"/>
                  <w:i/>
                  <w:sz w:val="24"/>
                  <w:szCs w:val="24"/>
                </w:rPr>
              </m:ctrlPr>
            </m:fPr>
            <m:num>
              <m:nary>
                <m:naryPr>
                  <m:chr m:val="∑"/>
                  <m:limLoc m:val="undOvr"/>
                  <m:ctrlPr>
                    <w:rPr>
                      <w:rFonts w:ascii="Cambria Math" w:hAnsi="Cambria Math"/>
                      <w:i/>
                      <w:sz w:val="24"/>
                      <w:szCs w:val="24"/>
                    </w:rPr>
                  </m:ctrlPr>
                </m:naryPr>
                <m:sub>
                  <m:ctrlPr>
                    <w:rPr>
                      <w:rFonts w:ascii="Cambria Math" w:hAnsi="Cambria Math"/>
                      <w:i/>
                      <w:sz w:val="24"/>
                      <w:szCs w:val="24"/>
                    </w:rPr>
                  </m:ctrlPr>
                </m:sub>
                <m:sup>
                  <m:r>
                    <w:rPr>
                      <w:rFonts w:ascii="Cambria Math"/>
                      <w:sz w:val="24"/>
                      <w:szCs w:val="24"/>
                    </w:rPr>
                    <m:t>N</m:t>
                  </m:r>
                  <m:ctrlPr>
                    <w:rPr>
                      <w:rFonts w:ascii="Cambria Math" w:hAnsi="Cambria Math"/>
                      <w:i/>
                      <w:sz w:val="24"/>
                      <w:szCs w:val="24"/>
                    </w:rPr>
                  </m:ctrlPr>
                </m:sup>
                <m:e>
                  <m:sSub>
                    <m:sSubPr>
                      <m:ctrlPr>
                        <w:rPr>
                          <w:rFonts w:ascii="Cambria Math" w:hAnsi="Cambria Math"/>
                          <w:i/>
                          <w:sz w:val="24"/>
                          <w:szCs w:val="24"/>
                        </w:rPr>
                      </m:ctrlPr>
                    </m:sSubPr>
                    <m:e>
                      <m:r>
                        <w:rPr>
                          <w:rFonts w:ascii="Cambria Math"/>
                          <w:sz w:val="24"/>
                          <w:szCs w:val="24"/>
                        </w:rPr>
                        <m:t>M</m:t>
                      </m:r>
                      <m:ctrlPr>
                        <w:rPr>
                          <w:rFonts w:ascii="Cambria Math" w:hAnsi="Cambria Math"/>
                          <w:i/>
                          <w:sz w:val="24"/>
                          <w:szCs w:val="24"/>
                        </w:rPr>
                      </m:ctrlPr>
                    </m:e>
                    <m:sub>
                      <m:r>
                        <w:rPr>
                          <w:rFonts w:ascii="Cambria Math"/>
                          <w:sz w:val="24"/>
                          <w:szCs w:val="24"/>
                        </w:rPr>
                        <m:t>i</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num>
            <m:den>
              <m:r>
                <w:rPr>
                  <w:rFonts w:ascii="Cambria Math"/>
                  <w:sz w:val="24"/>
                  <w:szCs w:val="24"/>
                </w:rPr>
                <m:t>N</m:t>
              </m:r>
              <m:ctrlPr>
                <w:rPr>
                  <w:rFonts w:ascii="Cambria Math" w:hAnsi="Cambria Math"/>
                  <w:i/>
                  <w:sz w:val="24"/>
                  <w:szCs w:val="24"/>
                </w:rPr>
              </m:ctrlPr>
            </m:den>
          </m:f>
        </m:oMath>
      </m:oMathPara>
    </w:p>
    <w:p>
      <w:pPr>
        <w:adjustRightInd w:val="0"/>
        <w:snapToGrid w:val="0"/>
        <w:spacing w:line="360" w:lineRule="auto"/>
        <w:ind w:firstLine="480" w:firstLineChars="200"/>
        <w:rPr>
          <w:rFonts w:hAnsi="宋体"/>
          <w:sz w:val="24"/>
          <w:szCs w:val="24"/>
        </w:rPr>
      </w:pPr>
      <w:r>
        <w:rPr>
          <w:rFonts w:hAnsi="宋体"/>
          <w:sz w:val="24"/>
          <w:szCs w:val="24"/>
        </w:rPr>
        <w:t>式中</w:t>
      </w:r>
      <m:oMath>
        <m:sSub>
          <m:sSubPr>
            <m:ctrlPr>
              <w:rPr>
                <w:rFonts w:ascii="Cambria Math" w:hAnsi="Cambria Math"/>
                <w:sz w:val="24"/>
                <w:szCs w:val="24"/>
              </w:rPr>
            </m:ctrlPr>
          </m:sSubPr>
          <m:e>
            <m:r>
              <m:rPr>
                <m:sty m:val="p"/>
              </m:rPr>
              <w:rPr>
                <w:rFonts w:ascii="Cambria Math"/>
                <w:sz w:val="24"/>
                <w:szCs w:val="24"/>
              </w:rPr>
              <m:t>M</m:t>
            </m:r>
            <m:ctrlPr>
              <w:rPr>
                <w:rFonts w:ascii="Cambria Math" w:hAnsi="Cambria Math"/>
                <w:sz w:val="24"/>
                <w:szCs w:val="24"/>
              </w:rPr>
            </m:ctrlPr>
          </m:e>
          <m:sub>
            <m:r>
              <m:rPr>
                <m:sty m:val="p"/>
              </m:rPr>
              <w:rPr>
                <w:rFonts w:ascii="Cambria Math"/>
                <w:sz w:val="24"/>
                <w:szCs w:val="24"/>
              </w:rPr>
              <m:t>i</m:t>
            </m:r>
            <m:ctrlPr>
              <w:rPr>
                <w:rFonts w:ascii="Cambria Math" w:hAnsi="Cambria Math"/>
                <w:sz w:val="24"/>
                <w:szCs w:val="24"/>
              </w:rPr>
            </m:ctrlPr>
          </m:sub>
        </m:sSub>
      </m:oMath>
      <w:r>
        <w:rPr>
          <w:rFonts w:hAnsi="宋体"/>
          <w:sz w:val="24"/>
          <w:szCs w:val="24"/>
        </w:rPr>
        <w:t>、</w:t>
      </w:r>
      <m:oMath>
        <m:r>
          <m:rPr>
            <m:sty m:val="p"/>
          </m:rPr>
          <w:rPr>
            <w:rFonts w:ascii="Cambria Math"/>
            <w:sz w:val="24"/>
            <w:szCs w:val="24"/>
          </w:rPr>
          <m:t>N</m:t>
        </m:r>
      </m:oMath>
      <w:r>
        <w:rPr>
          <w:sz w:val="24"/>
          <w:szCs w:val="24"/>
        </w:rPr>
        <w:t xml:space="preserve"> </w:t>
      </w:r>
      <w:r>
        <w:rPr>
          <w:rFonts w:hAnsi="宋体"/>
          <w:sz w:val="24"/>
          <w:szCs w:val="24"/>
        </w:rPr>
        <w:t>分别为课程成绩和课程数（</w:t>
      </w:r>
      <w:r>
        <w:rPr>
          <w:sz w:val="24"/>
          <w:szCs w:val="24"/>
        </w:rPr>
        <w:t>i=1,</w:t>
      </w:r>
      <w:r>
        <w:rPr>
          <w:rFonts w:hint="eastAsia"/>
          <w:sz w:val="24"/>
          <w:szCs w:val="24"/>
        </w:rPr>
        <w:t xml:space="preserve"> </w:t>
      </w:r>
      <w:r>
        <w:rPr>
          <w:sz w:val="24"/>
          <w:szCs w:val="24"/>
        </w:rPr>
        <w:t>2,</w:t>
      </w:r>
      <w:r>
        <w:rPr>
          <w:rFonts w:hint="eastAsia"/>
          <w:sz w:val="24"/>
          <w:szCs w:val="24"/>
        </w:rPr>
        <w:t xml:space="preserve"> </w:t>
      </w:r>
      <w:r>
        <w:rPr>
          <w:sz w:val="24"/>
          <w:szCs w:val="24"/>
        </w:rPr>
        <w:t>3……</w:t>
      </w:r>
      <w:r>
        <w:rPr>
          <w:rFonts w:hint="eastAsia"/>
          <w:sz w:val="24"/>
          <w:szCs w:val="24"/>
        </w:rPr>
        <w:t xml:space="preserve">, </w:t>
      </w:r>
      <w:r>
        <w:rPr>
          <w:sz w:val="24"/>
          <w:szCs w:val="24"/>
        </w:rPr>
        <w:t>N</w:t>
      </w:r>
      <w:r>
        <w:rPr>
          <w:rFonts w:hAnsi="宋体"/>
          <w:sz w:val="24"/>
          <w:szCs w:val="24"/>
        </w:rPr>
        <w:t>）。</w:t>
      </w:r>
    </w:p>
    <w:p>
      <w:pPr>
        <w:adjustRightInd w:val="0"/>
        <w:snapToGrid w:val="0"/>
        <w:spacing w:line="360" w:lineRule="auto"/>
        <w:ind w:firstLine="480" w:firstLineChars="200"/>
        <w:rPr>
          <w:sz w:val="24"/>
          <w:szCs w:val="24"/>
        </w:rPr>
      </w:pPr>
      <w:r>
        <w:rPr>
          <w:rFonts w:hint="eastAsia"/>
          <w:sz w:val="24"/>
          <w:szCs w:val="24"/>
        </w:rPr>
        <w:t>学习成绩计算公式：</w:t>
      </w:r>
    </w:p>
    <w:p>
      <w:pPr>
        <w:adjustRightInd w:val="0"/>
        <w:snapToGrid w:val="0"/>
        <w:spacing w:before="100" w:beforeAutospacing="1" w:after="100" w:afterAutospacing="1" w:line="360" w:lineRule="auto"/>
        <w:ind w:firstLine="480" w:firstLineChars="200"/>
        <w:jc w:val="center"/>
        <w:rPr>
          <w:i/>
          <w:sz w:val="24"/>
          <w:szCs w:val="24"/>
        </w:rPr>
      </w:pPr>
      <w:r>
        <w:rPr>
          <w:rFonts w:hint="eastAsia"/>
          <w:i/>
          <w:sz w:val="24"/>
          <w:szCs w:val="24"/>
        </w:rPr>
        <w:t>学习成绩=M/M</w:t>
      </w:r>
      <w:r>
        <w:rPr>
          <w:rFonts w:hint="eastAsia"/>
          <w:i/>
          <w:sz w:val="24"/>
          <w:szCs w:val="24"/>
          <w:vertAlign w:val="subscript"/>
        </w:rPr>
        <w:t>Max</w:t>
      </w:r>
      <w:r>
        <w:rPr>
          <w:rFonts w:hint="eastAsia"/>
          <w:i/>
          <w:sz w:val="24"/>
          <w:szCs w:val="24"/>
        </w:rPr>
        <w:t>×20</w:t>
      </w:r>
    </w:p>
    <w:p>
      <w:pPr>
        <w:adjustRightInd w:val="0"/>
        <w:snapToGrid w:val="0"/>
        <w:spacing w:line="360" w:lineRule="auto"/>
        <w:ind w:firstLine="480" w:firstLineChars="200"/>
        <w:rPr>
          <w:rFonts w:ascii="宋体" w:hAnsi="宋体"/>
          <w:sz w:val="24"/>
          <w:szCs w:val="24"/>
        </w:rPr>
      </w:pPr>
      <w:r>
        <w:rPr>
          <w:rFonts w:hAnsi="宋体"/>
          <w:sz w:val="24"/>
          <w:szCs w:val="24"/>
        </w:rPr>
        <w:t>式中</w:t>
      </w:r>
      <m:oMath>
        <m:r>
          <m:rPr>
            <m:sty m:val="p"/>
          </m:rPr>
          <w:rPr>
            <w:rFonts w:ascii="Cambria Math"/>
            <w:sz w:val="24"/>
            <w:szCs w:val="24"/>
          </w:rPr>
          <m:t>M</m:t>
        </m:r>
      </m:oMath>
      <w:r>
        <w:rPr>
          <w:sz w:val="24"/>
          <w:szCs w:val="24"/>
        </w:rPr>
        <w:t xml:space="preserve"> </w:t>
      </w:r>
      <w:r>
        <w:rPr>
          <w:rFonts w:hAnsi="宋体"/>
          <w:sz w:val="24"/>
          <w:szCs w:val="24"/>
        </w:rPr>
        <w:t>是</w:t>
      </w:r>
      <w:r>
        <w:rPr>
          <w:rFonts w:hint="eastAsia" w:hAnsi="宋体"/>
          <w:sz w:val="24"/>
          <w:szCs w:val="24"/>
        </w:rPr>
        <w:t>申请者</w:t>
      </w:r>
      <w:r>
        <w:rPr>
          <w:rFonts w:hAnsi="宋体"/>
          <w:sz w:val="24"/>
          <w:szCs w:val="24"/>
        </w:rPr>
        <w:t>个人全部课程平均成绩，</w:t>
      </w:r>
      <m:oMath>
        <m:sSub>
          <m:sSubPr>
            <m:ctrlPr>
              <w:rPr>
                <w:rFonts w:ascii="Cambria Math" w:hAnsi="Cambria Math"/>
                <w:sz w:val="24"/>
                <w:szCs w:val="24"/>
              </w:rPr>
            </m:ctrlPr>
          </m:sSubPr>
          <m:e>
            <m:r>
              <m:rPr>
                <m:sty m:val="p"/>
              </m:rPr>
              <w:rPr>
                <w:rFonts w:ascii="Cambria Math"/>
                <w:sz w:val="24"/>
                <w:szCs w:val="24"/>
              </w:rPr>
              <m:t>M</m:t>
            </m:r>
            <m:ctrlPr>
              <w:rPr>
                <w:rFonts w:ascii="Cambria Math" w:hAnsi="Cambria Math"/>
                <w:sz w:val="24"/>
                <w:szCs w:val="24"/>
              </w:rPr>
            </m:ctrlPr>
          </m:e>
          <m:sub>
            <m:r>
              <m:rPr>
                <m:sty m:val="p"/>
              </m:rPr>
              <w:rPr>
                <w:rFonts w:ascii="Cambria Math"/>
                <w:sz w:val="24"/>
                <w:szCs w:val="24"/>
              </w:rPr>
              <m:t>Max</m:t>
            </m:r>
            <m:ctrlPr>
              <w:rPr>
                <w:rFonts w:ascii="Cambria Math" w:hAnsi="Cambria Math"/>
                <w:sz w:val="24"/>
                <w:szCs w:val="24"/>
              </w:rPr>
            </m:ctrlPr>
          </m:sub>
        </m:sSub>
      </m:oMath>
      <w:r>
        <w:rPr>
          <w:sz w:val="24"/>
          <w:szCs w:val="24"/>
        </w:rPr>
        <w:t xml:space="preserve"> </w:t>
      </w:r>
      <w:r>
        <w:rPr>
          <w:rFonts w:hAnsi="宋体"/>
          <w:sz w:val="24"/>
          <w:szCs w:val="24"/>
        </w:rPr>
        <w:t>是</w:t>
      </w:r>
      <w:r>
        <w:rPr>
          <w:rFonts w:hint="eastAsia" w:hAnsi="宋体"/>
          <w:sz w:val="24"/>
          <w:szCs w:val="24"/>
        </w:rPr>
        <w:t>同</w:t>
      </w:r>
      <w:r>
        <w:rPr>
          <w:rFonts w:hAnsi="宋体"/>
          <w:sz w:val="24"/>
          <w:szCs w:val="24"/>
        </w:rPr>
        <w:t>年级最高平均学习</w:t>
      </w:r>
      <w:r>
        <w:rPr>
          <w:rFonts w:hint="eastAsia" w:ascii="宋体" w:hAnsi="宋体" w:cs="仿宋_GB2312"/>
          <w:sz w:val="24"/>
          <w:szCs w:val="24"/>
        </w:rPr>
        <w:t>成绩。</w:t>
      </w:r>
    </w:p>
    <w:p>
      <w:pPr>
        <w:adjustRightInd w:val="0"/>
        <w:snapToGrid w:val="0"/>
        <w:spacing w:line="360" w:lineRule="auto"/>
        <w:ind w:firstLine="562" w:firstLineChars="200"/>
        <w:rPr>
          <w:rFonts w:ascii="宋体" w:hAnsi="宋体"/>
          <w:b/>
          <w:bCs/>
          <w:sz w:val="28"/>
          <w:szCs w:val="28"/>
        </w:rPr>
      </w:pPr>
      <w:r>
        <w:rPr>
          <w:rFonts w:hint="eastAsia" w:ascii="宋体" w:hAnsi="宋体" w:cs="仿宋_GB2312"/>
          <w:b/>
          <w:bCs/>
          <w:sz w:val="28"/>
          <w:szCs w:val="28"/>
        </w:rPr>
        <w:t>三、学术科研分（60</w:t>
      </w:r>
      <w:r>
        <w:rPr>
          <w:rFonts w:ascii="宋体" w:hAnsi="宋体" w:cs="仿宋_GB2312"/>
          <w:b/>
          <w:bCs/>
          <w:sz w:val="28"/>
          <w:szCs w:val="28"/>
        </w:rPr>
        <w:t>%</w:t>
      </w:r>
      <w:r>
        <w:rPr>
          <w:rFonts w:hint="eastAsia" w:ascii="宋体" w:hAnsi="宋体" w:cs="仿宋_GB2312"/>
          <w:b/>
          <w:bCs/>
          <w:sz w:val="28"/>
          <w:szCs w:val="28"/>
        </w:rPr>
        <w:t>）</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该部分采取加分形式，累计加分不超过100分，超过按10</w:t>
      </w:r>
      <w:r>
        <w:rPr>
          <w:rFonts w:ascii="宋体" w:hAnsi="宋体" w:cs="仿宋_GB2312"/>
          <w:sz w:val="24"/>
          <w:szCs w:val="24"/>
        </w:rPr>
        <w:t>0</w:t>
      </w:r>
      <w:r>
        <w:rPr>
          <w:rFonts w:hint="eastAsia" w:ascii="宋体" w:hAnsi="宋体" w:cs="仿宋_GB2312"/>
          <w:sz w:val="24"/>
          <w:szCs w:val="24"/>
        </w:rPr>
        <w:t>分计算。</w:t>
      </w:r>
    </w:p>
    <w:p>
      <w:pPr>
        <w:spacing w:line="360" w:lineRule="auto"/>
        <w:ind w:firstLine="460" w:firstLineChars="200"/>
        <w:jc w:val="left"/>
        <w:rPr>
          <w:rFonts w:ascii="宋体" w:hAnsi="宋体"/>
          <w:color w:val="000000"/>
          <w:sz w:val="23"/>
        </w:rPr>
      </w:pPr>
      <w:r>
        <w:rPr>
          <w:rFonts w:hint="eastAsia" w:ascii="宋体" w:hAnsi="宋体"/>
          <w:color w:val="000000"/>
          <w:sz w:val="23"/>
        </w:rPr>
        <w:t>1.在申请者科研成果有效期内有发表论文、出版著作和获得国家专利等科研成果者，在评优中予以加分，具体加分细则如下：</w:t>
      </w:r>
    </w:p>
    <w:p>
      <w:pPr>
        <w:spacing w:line="360" w:lineRule="auto"/>
        <w:ind w:firstLine="460" w:firstLineChars="200"/>
        <w:jc w:val="left"/>
        <w:rPr>
          <w:rFonts w:ascii="Times New Roman" w:hAnsi="Times New Roman"/>
          <w:color w:val="000000"/>
          <w:sz w:val="23"/>
        </w:rPr>
      </w:pPr>
      <w:r>
        <w:rPr>
          <w:rFonts w:ascii="Times New Roman" w:hAnsi="宋体"/>
          <w:color w:val="000000"/>
          <w:sz w:val="23"/>
        </w:rPr>
        <w:t>①发表论文被</w:t>
      </w:r>
      <w:r>
        <w:rPr>
          <w:rFonts w:ascii="Times New Roman" w:hAnsi="Times New Roman"/>
          <w:color w:val="000000"/>
          <w:sz w:val="23"/>
        </w:rPr>
        <w:t>SCI</w:t>
      </w:r>
      <w:r>
        <w:rPr>
          <w:rFonts w:ascii="Times New Roman" w:hAnsi="宋体"/>
          <w:color w:val="000000"/>
          <w:sz w:val="23"/>
        </w:rPr>
        <w:t>收录：</w:t>
      </w:r>
    </w:p>
    <w:p>
      <w:pPr>
        <w:spacing w:line="360" w:lineRule="auto"/>
        <w:ind w:firstLine="460" w:firstLineChars="200"/>
        <w:jc w:val="left"/>
        <w:rPr>
          <w:rFonts w:ascii="Times New Roman" w:hAnsi="Times New Roman"/>
          <w:color w:val="000000"/>
          <w:sz w:val="23"/>
        </w:rPr>
      </w:pPr>
      <w:r>
        <w:rPr>
          <w:rFonts w:ascii="Times New Roman" w:hAnsi="Times New Roman"/>
          <w:color w:val="000000"/>
          <w:sz w:val="23"/>
        </w:rPr>
        <w:t>SCI</w:t>
      </w:r>
      <w:r>
        <w:rPr>
          <w:rFonts w:ascii="Times New Roman" w:hAnsi="宋体"/>
          <w:color w:val="000000"/>
          <w:sz w:val="23"/>
        </w:rPr>
        <w:t>论文计分</w:t>
      </w:r>
      <w:r>
        <w:rPr>
          <w:rFonts w:ascii="Times New Roman" w:hAnsi="Times New Roman"/>
          <w:color w:val="000000"/>
          <w:sz w:val="23"/>
        </w:rPr>
        <w:t>= 40</w:t>
      </w:r>
      <w:r>
        <w:rPr>
          <w:rFonts w:ascii="Times New Roman" w:hAnsi="宋体"/>
          <w:color w:val="000000"/>
          <w:sz w:val="23"/>
        </w:rPr>
        <w:t>分</w:t>
      </w:r>
      <w:r>
        <w:rPr>
          <w:rFonts w:ascii="Times New Roman" w:hAnsi="Times New Roman"/>
          <w:color w:val="000000"/>
          <w:sz w:val="23"/>
        </w:rPr>
        <w:t>+20</w:t>
      </w:r>
      <w:r>
        <w:rPr>
          <w:rFonts w:ascii="Times New Roman" w:hAnsi="宋体"/>
          <w:color w:val="000000"/>
          <w:sz w:val="23"/>
        </w:rPr>
        <w:t>分</w:t>
      </w:r>
      <w:r>
        <w:rPr>
          <w:rFonts w:ascii="Times New Roman" w:hAnsi="Times New Roman"/>
          <w:color w:val="000000"/>
          <w:sz w:val="23"/>
        </w:rPr>
        <w:t>×</w:t>
      </w:r>
      <w:r>
        <w:rPr>
          <w:rFonts w:ascii="Times New Roman" w:hAnsi="宋体"/>
          <w:color w:val="000000"/>
          <w:sz w:val="23"/>
        </w:rPr>
        <w:t>区系数</w:t>
      </w:r>
      <w:r>
        <w:rPr>
          <w:rFonts w:ascii="Times New Roman" w:hAnsi="Times New Roman"/>
          <w:color w:val="000000"/>
          <w:sz w:val="23"/>
        </w:rPr>
        <w:t>×</w:t>
      </w:r>
      <w:r>
        <w:rPr>
          <w:rFonts w:ascii="Times New Roman" w:hAnsi="宋体"/>
          <w:color w:val="000000"/>
          <w:sz w:val="23"/>
        </w:rPr>
        <w:t>影响因子</w:t>
      </w:r>
    </w:p>
    <w:p>
      <w:pPr>
        <w:spacing w:line="360" w:lineRule="auto"/>
        <w:ind w:firstLine="460" w:firstLineChars="200"/>
        <w:jc w:val="left"/>
        <w:rPr>
          <w:rFonts w:ascii="Times New Roman" w:hAnsi="Times New Roman"/>
          <w:color w:val="000000"/>
          <w:sz w:val="23"/>
        </w:rPr>
      </w:pPr>
      <w:r>
        <w:rPr>
          <w:rFonts w:ascii="Times New Roman" w:hAnsi="宋体"/>
          <w:color w:val="000000"/>
          <w:sz w:val="23"/>
        </w:rPr>
        <w:t>区系数：</w:t>
      </w:r>
      <w:r>
        <w:rPr>
          <w:rFonts w:ascii="Times New Roman" w:hAnsi="Times New Roman"/>
          <w:color w:val="000000"/>
          <w:sz w:val="23"/>
        </w:rPr>
        <w:t>I</w:t>
      </w:r>
      <w:r>
        <w:rPr>
          <w:rFonts w:ascii="Times New Roman" w:hAnsi="宋体"/>
          <w:color w:val="000000"/>
          <w:sz w:val="23"/>
        </w:rPr>
        <w:t>区系数为</w:t>
      </w:r>
      <w:r>
        <w:rPr>
          <w:rFonts w:ascii="Times New Roman" w:hAnsi="Times New Roman"/>
          <w:color w:val="000000"/>
          <w:sz w:val="23"/>
        </w:rPr>
        <w:t>1</w:t>
      </w:r>
      <w:r>
        <w:rPr>
          <w:rFonts w:ascii="Times New Roman" w:hAnsi="宋体"/>
          <w:color w:val="000000"/>
          <w:sz w:val="23"/>
        </w:rPr>
        <w:t>，</w:t>
      </w:r>
      <w:r>
        <w:rPr>
          <w:rFonts w:ascii="Times New Roman" w:hAnsi="Times New Roman"/>
          <w:color w:val="000000"/>
          <w:sz w:val="23"/>
        </w:rPr>
        <w:t>II</w:t>
      </w:r>
      <w:r>
        <w:rPr>
          <w:rFonts w:ascii="Times New Roman" w:hAnsi="宋体"/>
          <w:color w:val="000000"/>
          <w:sz w:val="23"/>
        </w:rPr>
        <w:t>区系数为</w:t>
      </w:r>
      <w:r>
        <w:rPr>
          <w:rFonts w:ascii="Times New Roman" w:hAnsi="Times New Roman"/>
          <w:color w:val="000000"/>
          <w:sz w:val="23"/>
        </w:rPr>
        <w:t>0.8</w:t>
      </w:r>
      <w:r>
        <w:rPr>
          <w:rFonts w:ascii="Times New Roman" w:hAnsi="宋体"/>
          <w:color w:val="000000"/>
          <w:sz w:val="23"/>
        </w:rPr>
        <w:t>，</w:t>
      </w:r>
      <w:r>
        <w:rPr>
          <w:rFonts w:ascii="Times New Roman" w:hAnsi="Times New Roman"/>
          <w:color w:val="000000"/>
          <w:sz w:val="23"/>
        </w:rPr>
        <w:t xml:space="preserve">III </w:t>
      </w:r>
      <w:r>
        <w:rPr>
          <w:rFonts w:ascii="Times New Roman" w:hAnsi="宋体"/>
          <w:color w:val="000000"/>
          <w:sz w:val="23"/>
        </w:rPr>
        <w:t>区系数为</w:t>
      </w:r>
      <w:r>
        <w:rPr>
          <w:rFonts w:ascii="Times New Roman" w:hAnsi="Times New Roman"/>
          <w:color w:val="000000"/>
          <w:sz w:val="23"/>
        </w:rPr>
        <w:t>0.6</w:t>
      </w:r>
      <w:r>
        <w:rPr>
          <w:rFonts w:ascii="Times New Roman" w:hAnsi="宋体"/>
          <w:color w:val="000000"/>
          <w:sz w:val="23"/>
        </w:rPr>
        <w:t>，</w:t>
      </w:r>
      <w:r>
        <w:rPr>
          <w:rFonts w:ascii="Times New Roman" w:hAnsi="Times New Roman"/>
          <w:color w:val="000000"/>
          <w:sz w:val="23"/>
        </w:rPr>
        <w:t>IV</w:t>
      </w:r>
      <w:r>
        <w:rPr>
          <w:rFonts w:ascii="Times New Roman" w:hAnsi="宋体"/>
          <w:color w:val="000000"/>
          <w:sz w:val="23"/>
        </w:rPr>
        <w:t>区系数为</w:t>
      </w:r>
      <w:r>
        <w:rPr>
          <w:rFonts w:ascii="Times New Roman" w:hAnsi="Times New Roman"/>
          <w:color w:val="000000"/>
          <w:sz w:val="23"/>
        </w:rPr>
        <w:t>0.4</w:t>
      </w:r>
      <w:r>
        <w:rPr>
          <w:rFonts w:ascii="Times New Roman" w:hAnsi="宋体"/>
          <w:color w:val="000000"/>
          <w:sz w:val="23"/>
        </w:rPr>
        <w:t>；</w:t>
      </w:r>
    </w:p>
    <w:p>
      <w:pPr>
        <w:spacing w:line="360" w:lineRule="auto"/>
        <w:ind w:firstLine="460" w:firstLineChars="200"/>
        <w:jc w:val="left"/>
        <w:rPr>
          <w:rFonts w:ascii="Times New Roman" w:hAnsi="Times New Roman"/>
          <w:color w:val="000000"/>
          <w:sz w:val="23"/>
        </w:rPr>
      </w:pPr>
      <w:r>
        <w:rPr>
          <w:rFonts w:ascii="Times New Roman" w:hAnsi="宋体"/>
          <w:color w:val="000000"/>
          <w:sz w:val="23"/>
        </w:rPr>
        <w:t>被</w:t>
      </w:r>
      <w:r>
        <w:rPr>
          <w:rFonts w:ascii="Times New Roman" w:hAnsi="Times New Roman"/>
          <w:color w:val="000000"/>
          <w:sz w:val="23"/>
        </w:rPr>
        <w:t>SCI</w:t>
      </w:r>
      <w:r>
        <w:rPr>
          <w:rFonts w:ascii="Times New Roman" w:hAnsi="宋体"/>
          <w:color w:val="000000"/>
          <w:sz w:val="23"/>
        </w:rPr>
        <w:t>收录的英文简报、通告、增刊均计</w:t>
      </w:r>
      <w:r>
        <w:rPr>
          <w:rFonts w:ascii="Times New Roman" w:hAnsi="Times New Roman"/>
          <w:color w:val="000000"/>
          <w:sz w:val="23"/>
        </w:rPr>
        <w:t>10</w:t>
      </w:r>
      <w:r>
        <w:rPr>
          <w:rFonts w:ascii="Times New Roman" w:hAnsi="宋体"/>
          <w:color w:val="000000"/>
          <w:sz w:val="23"/>
        </w:rPr>
        <w:t>分；</w:t>
      </w:r>
    </w:p>
    <w:p>
      <w:pPr>
        <w:spacing w:line="360" w:lineRule="auto"/>
        <w:ind w:firstLine="460" w:firstLineChars="200"/>
        <w:jc w:val="left"/>
        <w:rPr>
          <w:rFonts w:ascii="Times New Roman" w:hAnsi="Times New Roman"/>
          <w:color w:val="000000"/>
          <w:sz w:val="23"/>
        </w:rPr>
      </w:pPr>
      <w:r>
        <w:rPr>
          <w:rFonts w:ascii="Times New Roman" w:hAnsi="宋体"/>
          <w:color w:val="000000"/>
          <w:sz w:val="23"/>
        </w:rPr>
        <w:t>被</w:t>
      </w:r>
      <w:r>
        <w:rPr>
          <w:rFonts w:ascii="Times New Roman" w:hAnsi="Times New Roman"/>
          <w:color w:val="000000"/>
          <w:sz w:val="23"/>
        </w:rPr>
        <w:t>EI</w:t>
      </w:r>
      <w:r>
        <w:rPr>
          <w:rFonts w:ascii="Times New Roman" w:hAnsi="宋体"/>
          <w:color w:val="000000"/>
          <w:sz w:val="23"/>
        </w:rPr>
        <w:t>收录的英文全文发表的文章计</w:t>
      </w:r>
      <w:r>
        <w:rPr>
          <w:rFonts w:ascii="Times New Roman" w:hAnsi="Times New Roman"/>
          <w:color w:val="000000"/>
          <w:sz w:val="23"/>
        </w:rPr>
        <w:t>40</w:t>
      </w:r>
      <w:r>
        <w:rPr>
          <w:rFonts w:ascii="Times New Roman" w:hAnsi="宋体"/>
          <w:color w:val="000000"/>
          <w:sz w:val="23"/>
        </w:rPr>
        <w:t>分（会议论文除外）。</w:t>
      </w:r>
    </w:p>
    <w:p>
      <w:pPr>
        <w:spacing w:line="360" w:lineRule="auto"/>
        <w:ind w:firstLine="460" w:firstLineChars="200"/>
        <w:jc w:val="left"/>
        <w:rPr>
          <w:rFonts w:ascii="Times New Roman" w:hAnsi="Times New Roman"/>
          <w:color w:val="000000"/>
          <w:sz w:val="23"/>
        </w:rPr>
      </w:pPr>
      <w:r>
        <w:rPr>
          <w:rFonts w:ascii="Times New Roman" w:hAnsi="宋体"/>
          <w:color w:val="000000"/>
          <w:sz w:val="23"/>
        </w:rPr>
        <w:t>②在中文一级核心期刊发表论文或发表中文论文被</w:t>
      </w:r>
      <w:r>
        <w:rPr>
          <w:rFonts w:ascii="Times New Roman" w:hAnsi="Times New Roman"/>
          <w:color w:val="000000"/>
          <w:sz w:val="23"/>
        </w:rPr>
        <w:t>EI</w:t>
      </w:r>
      <w:r>
        <w:rPr>
          <w:rFonts w:ascii="Times New Roman" w:hAnsi="宋体"/>
          <w:color w:val="000000"/>
          <w:sz w:val="23"/>
        </w:rPr>
        <w:t>收录、获得国家发明专利的，每项加</w:t>
      </w:r>
      <w:r>
        <w:rPr>
          <w:rFonts w:ascii="Times New Roman" w:hAnsi="Times New Roman"/>
          <w:color w:val="000000"/>
          <w:sz w:val="23"/>
        </w:rPr>
        <w:t>30</w:t>
      </w:r>
      <w:r>
        <w:rPr>
          <w:rFonts w:ascii="Times New Roman" w:hAnsi="宋体"/>
          <w:color w:val="000000"/>
          <w:sz w:val="23"/>
        </w:rPr>
        <w:t>分。</w:t>
      </w:r>
    </w:p>
    <w:p>
      <w:pPr>
        <w:spacing w:line="360" w:lineRule="auto"/>
        <w:ind w:firstLine="460" w:firstLineChars="200"/>
        <w:jc w:val="left"/>
        <w:rPr>
          <w:rFonts w:ascii="Times New Roman" w:hAnsi="Times New Roman"/>
          <w:color w:val="000000"/>
          <w:sz w:val="23"/>
        </w:rPr>
      </w:pPr>
      <w:r>
        <w:rPr>
          <w:rFonts w:ascii="Times New Roman" w:hAnsi="宋体"/>
          <w:color w:val="000000"/>
          <w:sz w:val="23"/>
        </w:rPr>
        <w:t>③在中文二级核心期刊发表论文，每项加</w:t>
      </w:r>
      <w:r>
        <w:rPr>
          <w:rFonts w:ascii="Times New Roman" w:hAnsi="Times New Roman"/>
          <w:color w:val="000000"/>
          <w:sz w:val="23"/>
        </w:rPr>
        <w:t>15</w:t>
      </w:r>
      <w:r>
        <w:rPr>
          <w:rFonts w:ascii="Times New Roman" w:hAnsi="宋体"/>
          <w:color w:val="000000"/>
          <w:sz w:val="23"/>
        </w:rPr>
        <w:t>分。</w:t>
      </w:r>
    </w:p>
    <w:p>
      <w:pPr>
        <w:spacing w:line="360" w:lineRule="auto"/>
        <w:ind w:firstLine="460" w:firstLineChars="200"/>
        <w:jc w:val="left"/>
        <w:rPr>
          <w:rFonts w:ascii="Times New Roman" w:hAnsi="Times New Roman"/>
          <w:sz w:val="23"/>
        </w:rPr>
      </w:pPr>
      <w:r>
        <w:rPr>
          <w:rFonts w:ascii="宋体" w:hAnsi="宋体"/>
          <w:sz w:val="23"/>
        </w:rPr>
        <w:t>④</w:t>
      </w:r>
      <w:r>
        <w:rPr>
          <w:rFonts w:ascii="Times New Roman"/>
          <w:sz w:val="23"/>
        </w:rPr>
        <w:t>获得国家实用新型专利、外观设计专利、软件著作权者，每项加</w:t>
      </w:r>
      <w:r>
        <w:rPr>
          <w:rFonts w:ascii="Times New Roman" w:hAnsi="Times New Roman"/>
          <w:sz w:val="23"/>
        </w:rPr>
        <w:t>15</w:t>
      </w:r>
      <w:r>
        <w:rPr>
          <w:rFonts w:ascii="Times New Roman"/>
          <w:sz w:val="23"/>
        </w:rPr>
        <w:t>分。</w:t>
      </w:r>
    </w:p>
    <w:p>
      <w:pPr>
        <w:spacing w:line="360" w:lineRule="auto"/>
        <w:ind w:firstLine="460" w:firstLineChars="200"/>
        <w:jc w:val="left"/>
        <w:rPr>
          <w:rFonts w:ascii="Times New Roman" w:hAnsi="Times New Roman"/>
          <w:sz w:val="23"/>
        </w:rPr>
      </w:pPr>
      <w:r>
        <w:rPr>
          <w:rFonts w:ascii="宋体" w:hAnsi="宋体"/>
          <w:sz w:val="23"/>
        </w:rPr>
        <w:t>⑤</w:t>
      </w:r>
      <w:r>
        <w:rPr>
          <w:rFonts w:ascii="Times New Roman"/>
          <w:sz w:val="23"/>
        </w:rPr>
        <w:t>在一般学术刊物上发表论文者，每篇加</w:t>
      </w:r>
      <w:r>
        <w:rPr>
          <w:rFonts w:ascii="Times New Roman" w:hAnsi="Times New Roman"/>
          <w:sz w:val="23"/>
        </w:rPr>
        <w:t>5</w:t>
      </w:r>
      <w:r>
        <w:rPr>
          <w:rFonts w:ascii="Times New Roman"/>
          <w:sz w:val="23"/>
        </w:rPr>
        <w:t>分。</w:t>
      </w:r>
    </w:p>
    <w:p>
      <w:pPr>
        <w:spacing w:line="360" w:lineRule="auto"/>
        <w:ind w:firstLine="460" w:firstLineChars="200"/>
        <w:jc w:val="left"/>
        <w:rPr>
          <w:rFonts w:ascii="Times New Roman" w:hAnsi="Times New Roman"/>
          <w:sz w:val="23"/>
        </w:rPr>
      </w:pPr>
      <w:r>
        <w:rPr>
          <w:rFonts w:ascii="宋体" w:hAnsi="宋体"/>
          <w:sz w:val="23"/>
        </w:rPr>
        <w:t>⑥</w:t>
      </w:r>
      <w:r>
        <w:rPr>
          <w:rFonts w:ascii="Times New Roman"/>
          <w:sz w:val="23"/>
        </w:rPr>
        <w:t>在专业、行业会议或增刊上发表论文者，每篇加</w:t>
      </w:r>
      <w:r>
        <w:rPr>
          <w:rFonts w:ascii="Times New Roman" w:hAnsi="Times New Roman"/>
          <w:sz w:val="23"/>
        </w:rPr>
        <w:t>2</w:t>
      </w:r>
      <w:r>
        <w:rPr>
          <w:rFonts w:ascii="Times New Roman"/>
          <w:sz w:val="23"/>
        </w:rPr>
        <w:t>分。</w:t>
      </w:r>
    </w:p>
    <w:p>
      <w:pPr>
        <w:spacing w:line="360" w:lineRule="auto"/>
        <w:ind w:firstLine="460" w:firstLineChars="200"/>
        <w:jc w:val="left"/>
        <w:rPr>
          <w:sz w:val="23"/>
        </w:rPr>
      </w:pPr>
    </w:p>
    <w:p>
      <w:pPr>
        <w:adjustRightInd w:val="0"/>
        <w:snapToGrid w:val="0"/>
        <w:spacing w:line="360" w:lineRule="auto"/>
        <w:ind w:firstLine="460" w:firstLineChars="200"/>
        <w:rPr>
          <w:rFonts w:ascii="宋体" w:hAnsi="宋体"/>
          <w:sz w:val="24"/>
          <w:szCs w:val="24"/>
        </w:rPr>
      </w:pPr>
      <w:r>
        <w:rPr>
          <w:sz w:val="23"/>
        </w:rPr>
        <w:t>说明：</w:t>
      </w:r>
      <w:r>
        <w:rPr>
          <w:rFonts w:hint="eastAsia"/>
          <w:sz w:val="23"/>
        </w:rPr>
        <w:t>以上</w:t>
      </w:r>
      <w:r>
        <w:rPr>
          <w:sz w:val="23"/>
        </w:rPr>
        <w:t>成果均需</w:t>
      </w:r>
      <w:r>
        <w:rPr>
          <w:rFonts w:hint="eastAsia"/>
          <w:sz w:val="23"/>
        </w:rPr>
        <w:t>研究生</w:t>
      </w:r>
      <w:r>
        <w:rPr>
          <w:sz w:val="23"/>
        </w:rPr>
        <w:t>为第一作者，</w:t>
      </w:r>
      <w:r>
        <w:rPr>
          <w:rFonts w:hint="eastAsia"/>
          <w:sz w:val="23"/>
        </w:rPr>
        <w:t>或者</w:t>
      </w:r>
      <w:r>
        <w:rPr>
          <w:sz w:val="23"/>
        </w:rPr>
        <w:t>研究生导师</w:t>
      </w:r>
      <w:r>
        <w:rPr>
          <w:rFonts w:hint="eastAsia"/>
          <w:sz w:val="23"/>
        </w:rPr>
        <w:t>为第一作者研究生为</w:t>
      </w:r>
      <w:r>
        <w:rPr>
          <w:sz w:val="23"/>
        </w:rPr>
        <w:t>第二作者。</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2.个人代表院、校参加校级以上专业学术科技竞赛、科创项目或创新创业项目获奖者，可以获得相应加分，具体加分细则如下：</w:t>
      </w:r>
    </w:p>
    <w:tbl>
      <w:tblPr>
        <w:tblStyle w:val="6"/>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073"/>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376" w:type="dxa"/>
            <w:vAlign w:val="center"/>
          </w:tcPr>
          <w:p>
            <w:pPr>
              <w:adjustRightInd w:val="0"/>
              <w:snapToGrid w:val="0"/>
              <w:spacing w:line="360" w:lineRule="auto"/>
              <w:ind w:firstLine="482" w:firstLineChars="200"/>
              <w:jc w:val="center"/>
              <w:rPr>
                <w:rFonts w:ascii="宋体" w:hAnsi="宋体"/>
                <w:b/>
                <w:sz w:val="24"/>
                <w:szCs w:val="24"/>
              </w:rPr>
            </w:pPr>
            <w:r>
              <w:rPr>
                <w:rFonts w:hint="eastAsia" w:ascii="宋体" w:hAnsi="宋体" w:cs="仿宋_GB2312"/>
                <w:b/>
                <w:sz w:val="24"/>
                <w:szCs w:val="24"/>
              </w:rPr>
              <w:t>获奖级别</w:t>
            </w:r>
          </w:p>
        </w:tc>
        <w:tc>
          <w:tcPr>
            <w:tcW w:w="3073" w:type="dxa"/>
            <w:vAlign w:val="center"/>
          </w:tcPr>
          <w:p>
            <w:pPr>
              <w:adjustRightInd w:val="0"/>
              <w:snapToGrid w:val="0"/>
              <w:spacing w:line="360" w:lineRule="auto"/>
              <w:ind w:firstLine="482" w:firstLineChars="200"/>
              <w:jc w:val="center"/>
              <w:rPr>
                <w:rFonts w:ascii="宋体" w:hAnsi="宋体"/>
                <w:b/>
                <w:sz w:val="24"/>
                <w:szCs w:val="24"/>
              </w:rPr>
            </w:pPr>
            <w:r>
              <w:rPr>
                <w:rFonts w:hint="eastAsia" w:ascii="宋体" w:hAnsi="宋体" w:cs="仿宋_GB2312"/>
                <w:b/>
                <w:sz w:val="24"/>
                <w:szCs w:val="24"/>
              </w:rPr>
              <w:t>获奖等级</w:t>
            </w:r>
          </w:p>
        </w:tc>
        <w:tc>
          <w:tcPr>
            <w:tcW w:w="2785" w:type="dxa"/>
            <w:vAlign w:val="center"/>
          </w:tcPr>
          <w:p>
            <w:pPr>
              <w:adjustRightInd w:val="0"/>
              <w:snapToGrid w:val="0"/>
              <w:spacing w:line="360" w:lineRule="auto"/>
              <w:ind w:firstLine="482" w:firstLineChars="200"/>
              <w:jc w:val="center"/>
              <w:rPr>
                <w:rFonts w:ascii="宋体" w:hAnsi="宋体"/>
                <w:b/>
                <w:sz w:val="24"/>
                <w:szCs w:val="24"/>
              </w:rPr>
            </w:pPr>
            <w:r>
              <w:rPr>
                <w:rFonts w:hint="eastAsia" w:ascii="宋体" w:hAnsi="宋体" w:cs="仿宋_GB2312"/>
                <w:b/>
                <w:sz w:val="24"/>
                <w:szCs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2376" w:type="dxa"/>
            <w:vMerge w:val="restart"/>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国家级</w:t>
            </w: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一等奖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ascii="宋体" w:hAnsi="宋体" w:cs="仿宋_GB2312"/>
                <w:sz w:val="24"/>
                <w:szCs w:val="24"/>
              </w:rPr>
              <w:t>1</w:t>
            </w:r>
            <w:r>
              <w:rPr>
                <w:rFonts w:hint="eastAsia" w:ascii="宋体" w:hAnsi="宋体"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二等奖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三等奖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四等奖及以下</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2376" w:type="dxa"/>
            <w:vMerge w:val="restart"/>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省级</w:t>
            </w: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一等奖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二等奖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三等奖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四等奖及以下</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2376" w:type="dxa"/>
            <w:vMerge w:val="restart"/>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校（市）级</w:t>
            </w: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一等奖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二等奖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三等奖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四等奖及以下</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2</w:t>
            </w:r>
          </w:p>
        </w:tc>
      </w:tr>
    </w:tbl>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以团队形式参赛者，按以上加分值折半加分。</w:t>
      </w:r>
    </w:p>
    <w:p>
      <w:pPr>
        <w:widowControl/>
        <w:adjustRightInd w:val="0"/>
        <w:snapToGrid w:val="0"/>
        <w:spacing w:line="360" w:lineRule="auto"/>
        <w:ind w:firstLine="480" w:firstLineChars="200"/>
        <w:rPr>
          <w:rFonts w:ascii="宋体" w:hAnsi="宋体"/>
          <w:sz w:val="24"/>
          <w:szCs w:val="24"/>
        </w:rPr>
      </w:pPr>
    </w:p>
    <w:p>
      <w:pPr>
        <w:adjustRightInd w:val="0"/>
        <w:snapToGrid w:val="0"/>
        <w:spacing w:before="100" w:beforeAutospacing="1" w:after="100" w:afterAutospacing="1"/>
        <w:jc w:val="center"/>
        <w:rPr>
          <w:rFonts w:ascii="宋体" w:hAnsi="宋体" w:cs="黑体"/>
          <w:b/>
          <w:bCs/>
          <w:sz w:val="28"/>
          <w:szCs w:val="28"/>
        </w:rPr>
      </w:pPr>
      <w:r>
        <w:rPr>
          <w:rFonts w:hint="eastAsia" w:ascii="宋体" w:hAnsi="宋体" w:cs="黑体"/>
          <w:b/>
          <w:bCs/>
          <w:sz w:val="28"/>
          <w:szCs w:val="28"/>
        </w:rPr>
        <w:t>第三部分  博士研究生参评材料评分细则</w:t>
      </w:r>
    </w:p>
    <w:p>
      <w:pPr>
        <w:adjustRightInd w:val="0"/>
        <w:snapToGrid w:val="0"/>
        <w:spacing w:line="360" w:lineRule="auto"/>
        <w:ind w:firstLine="562" w:firstLineChars="200"/>
        <w:rPr>
          <w:rFonts w:ascii="宋体" w:hAnsi="宋体"/>
          <w:b/>
          <w:bCs/>
          <w:sz w:val="28"/>
          <w:szCs w:val="28"/>
        </w:rPr>
      </w:pPr>
      <w:r>
        <w:rPr>
          <w:rFonts w:hint="eastAsia" w:ascii="宋体" w:hAnsi="宋体" w:cs="仿宋_GB2312"/>
          <w:b/>
          <w:bCs/>
          <w:sz w:val="28"/>
          <w:szCs w:val="28"/>
        </w:rPr>
        <w:t>一、思想品德、社会实践、文体活动及其它（20</w:t>
      </w:r>
      <w:r>
        <w:rPr>
          <w:rFonts w:ascii="宋体" w:hAnsi="宋体" w:cs="仿宋_GB2312"/>
          <w:b/>
          <w:bCs/>
          <w:sz w:val="28"/>
          <w:szCs w:val="28"/>
        </w:rPr>
        <w:t>%</w:t>
      </w:r>
      <w:r>
        <w:rPr>
          <w:rFonts w:hint="eastAsia" w:ascii="宋体" w:hAnsi="宋体" w:cs="仿宋_GB2312"/>
          <w:b/>
          <w:bCs/>
          <w:sz w:val="28"/>
          <w:szCs w:val="28"/>
        </w:rPr>
        <w:t>）</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1.思想品德分，学院全体博士同学对申请者思想素质、学术道德、纪律作风等方面进行评分，去除最高、最低分后，取平均分，满分30分。</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此项由</w:t>
      </w:r>
      <w:r>
        <w:rPr>
          <w:rFonts w:hint="eastAsia" w:ascii="宋体" w:hAnsi="宋体" w:cs="宋体"/>
          <w:kern w:val="0"/>
          <w:sz w:val="24"/>
          <w:szCs w:val="24"/>
        </w:rPr>
        <w:t>学院参评材料初评小组组织完成并在学院范围内公示。</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2.社会实践加分，上限30分，具体加分细则如下：</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①担任校、院级学生干部工作任期满一届，能较好地完成本职工作，加12分。兼任数项工作者，按最高得分项加分，不重复加分</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②参加院级以上（含院级）“三下乡”或同类型下乡调研活动，加10分</w:t>
      </w:r>
      <w:r>
        <w:rPr>
          <w:rFonts w:ascii="宋体" w:hAnsi="宋体" w:cs="仿宋_GB2312"/>
          <w:sz w:val="24"/>
          <w:szCs w:val="24"/>
        </w:rPr>
        <w:t>/</w:t>
      </w:r>
      <w:r>
        <w:rPr>
          <w:rFonts w:hint="eastAsia" w:ascii="宋体" w:hAnsi="宋体" w:cs="仿宋_GB2312"/>
          <w:sz w:val="24"/>
          <w:szCs w:val="24"/>
        </w:rPr>
        <w:t>次；</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③参加院级以上（含院级）志愿服务活动者，代表学院、学校参加各类文艺活动、体育比赛者，自愿献血等，加分2分</w:t>
      </w:r>
      <w:r>
        <w:rPr>
          <w:rFonts w:ascii="宋体" w:hAnsi="宋体" w:cs="仿宋_GB2312"/>
          <w:sz w:val="24"/>
          <w:szCs w:val="24"/>
        </w:rPr>
        <w:t>/</w:t>
      </w:r>
      <w:r>
        <w:rPr>
          <w:rFonts w:hint="eastAsia" w:ascii="宋体" w:hAnsi="宋体" w:cs="仿宋_GB2312"/>
          <w:sz w:val="24"/>
          <w:szCs w:val="24"/>
        </w:rPr>
        <w:t>次，上限16分；</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④为校、院级学术讲座作报告、主讲的，加8分</w:t>
      </w:r>
      <w:r>
        <w:rPr>
          <w:rFonts w:ascii="宋体" w:hAnsi="宋体" w:cs="仿宋_GB2312"/>
          <w:sz w:val="24"/>
          <w:szCs w:val="24"/>
        </w:rPr>
        <w:t>/</w:t>
      </w:r>
      <w:r>
        <w:rPr>
          <w:rFonts w:hint="eastAsia" w:ascii="宋体" w:hAnsi="宋体" w:cs="仿宋_GB2312"/>
          <w:sz w:val="24"/>
          <w:szCs w:val="24"/>
        </w:rPr>
        <w:t>次。</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以上加分项均需提供相关证明。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cs="仿宋_GB2312"/>
          <w:sz w:val="24"/>
          <w:szCs w:val="24"/>
        </w:rPr>
        <w:t xml:space="preserve"> 获得本部分内容相关的荣誉加分，上限40分，具体加分细则如下：</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个人获得院级荣誉，最高等级荣誉加6分/项，次等荣誉加4分/项，依次递减至1分/项（第四等级及以下荣誉）；</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个人获得校（市）级荣誉，最高等级荣誉加8分</w:t>
      </w:r>
      <w:r>
        <w:rPr>
          <w:rFonts w:ascii="宋体" w:hAnsi="宋体" w:cs="仿宋_GB2312"/>
          <w:sz w:val="24"/>
          <w:szCs w:val="24"/>
        </w:rPr>
        <w:t>/</w:t>
      </w:r>
      <w:r>
        <w:rPr>
          <w:rFonts w:hint="eastAsia" w:ascii="宋体" w:hAnsi="宋体" w:cs="仿宋_GB2312"/>
          <w:sz w:val="24"/>
          <w:szCs w:val="24"/>
        </w:rPr>
        <w:t>项，次等荣誉加6分/项，依次递减至2分/项（第四等级及以下荣誉）；</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个人获得省级荣誉，最高等级荣誉加10分</w:t>
      </w:r>
      <w:r>
        <w:rPr>
          <w:rFonts w:ascii="宋体" w:hAnsi="宋体" w:cs="仿宋_GB2312"/>
          <w:sz w:val="24"/>
          <w:szCs w:val="24"/>
        </w:rPr>
        <w:t>/</w:t>
      </w:r>
      <w:r>
        <w:rPr>
          <w:rFonts w:hint="eastAsia" w:ascii="宋体" w:hAnsi="宋体" w:cs="仿宋_GB2312"/>
          <w:sz w:val="24"/>
          <w:szCs w:val="24"/>
        </w:rPr>
        <w:t>项，次等荣誉加8分/项，依次递减至4分/项（第四等级及以下荣誉）；</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个人获得国家级及以上荣誉加15分</w:t>
      </w:r>
      <w:r>
        <w:rPr>
          <w:rFonts w:ascii="宋体" w:hAnsi="宋体" w:cs="仿宋_GB2312"/>
          <w:sz w:val="24"/>
          <w:szCs w:val="24"/>
        </w:rPr>
        <w:t>/</w:t>
      </w:r>
      <w:r>
        <w:rPr>
          <w:rFonts w:hint="eastAsia" w:ascii="宋体" w:hAnsi="宋体" w:cs="仿宋_GB2312"/>
          <w:sz w:val="24"/>
          <w:szCs w:val="24"/>
        </w:rPr>
        <w:t>项，次等荣誉加12分/项，依次递减至6分/项（第四等级及以下荣誉）。</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获得团体荣誉，按相应级别折半加分。多项活动可以累计加分。</w:t>
      </w:r>
    </w:p>
    <w:p>
      <w:pPr>
        <w:widowControl/>
        <w:adjustRightInd w:val="0"/>
        <w:snapToGrid w:val="0"/>
        <w:spacing w:line="360" w:lineRule="auto"/>
        <w:ind w:firstLine="562" w:firstLineChars="200"/>
        <w:jc w:val="left"/>
        <w:rPr>
          <w:rFonts w:ascii="宋体" w:hAnsi="宋体"/>
          <w:b/>
          <w:bCs/>
          <w:sz w:val="28"/>
          <w:szCs w:val="28"/>
        </w:rPr>
      </w:pPr>
      <w:r>
        <w:rPr>
          <w:rFonts w:hint="eastAsia" w:ascii="宋体" w:hAnsi="宋体" w:cs="仿宋_GB2312"/>
          <w:b/>
          <w:bCs/>
          <w:sz w:val="28"/>
          <w:szCs w:val="28"/>
        </w:rPr>
        <w:t>二、学习成绩（20%）</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该部分由学生成绩折算而成。二年级研究生平均成绩以第一、二学期培养计划规定的当学期全部课程计算。三年级研究生平均成绩以培养计划规定全部修读课程计算。博士生英语成绩以综合成绩计算。</w:t>
      </w:r>
    </w:p>
    <w:p>
      <w:pPr>
        <w:adjustRightInd w:val="0"/>
        <w:snapToGrid w:val="0"/>
        <w:spacing w:line="360" w:lineRule="auto"/>
        <w:ind w:firstLine="480" w:firstLineChars="200"/>
        <w:rPr>
          <w:sz w:val="24"/>
          <w:szCs w:val="24"/>
        </w:rPr>
      </w:pPr>
      <w:r>
        <w:rPr>
          <w:rFonts w:hint="eastAsia" w:ascii="宋体" w:hAnsi="宋体" w:cs="仿宋_GB2312"/>
          <w:sz w:val="24"/>
          <w:szCs w:val="24"/>
        </w:rPr>
        <w:t>全部课</w:t>
      </w:r>
      <w:r>
        <w:rPr>
          <w:rFonts w:hAnsi="宋体"/>
          <w:sz w:val="24"/>
          <w:szCs w:val="24"/>
        </w:rPr>
        <w:t>程平均成绩</w:t>
      </w:r>
      <m:oMath>
        <m:r>
          <m:rPr>
            <m:sty m:val="p"/>
          </m:rPr>
          <w:rPr>
            <w:rFonts w:ascii="Cambria Math"/>
            <w:sz w:val="24"/>
            <w:szCs w:val="24"/>
          </w:rPr>
          <m:t>M</m:t>
        </m:r>
      </m:oMath>
      <w:r>
        <w:rPr>
          <w:sz w:val="24"/>
          <w:szCs w:val="24"/>
        </w:rPr>
        <w:t xml:space="preserve"> </w:t>
      </w:r>
      <w:r>
        <w:rPr>
          <w:rFonts w:hAnsi="宋体"/>
          <w:sz w:val="24"/>
          <w:szCs w:val="24"/>
        </w:rPr>
        <w:t>计算公式：</w:t>
      </w:r>
    </w:p>
    <w:p>
      <w:pPr>
        <w:adjustRightInd w:val="0"/>
        <w:snapToGrid w:val="0"/>
        <w:spacing w:before="100" w:beforeAutospacing="1" w:after="100" w:afterAutospacing="1" w:line="360" w:lineRule="auto"/>
        <w:ind w:firstLine="480" w:firstLineChars="200"/>
        <w:jc w:val="center"/>
        <w:rPr>
          <w:i/>
          <w:sz w:val="24"/>
          <w:szCs w:val="24"/>
        </w:rPr>
      </w:pPr>
      <m:oMathPara>
        <m:oMath>
          <m:r>
            <w:rPr>
              <w:rFonts w:ascii="Cambria Math" w:hAnsi="Cambria Math"/>
              <w:sz w:val="24"/>
              <w:szCs w:val="24"/>
            </w:rPr>
            <m:t>全部课程平均成绩</m:t>
          </m:r>
          <m:r>
            <w:rPr>
              <w:rFonts w:ascii="Cambria Math"/>
              <w:sz w:val="24"/>
              <w:szCs w:val="24"/>
            </w:rPr>
            <m:t>M=</m:t>
          </m:r>
          <m:f>
            <m:fPr>
              <m:type m:val="lin"/>
              <m:ctrlPr>
                <w:rPr>
                  <w:rFonts w:ascii="Cambria Math" w:hAnsi="Cambria Math"/>
                  <w:i/>
                  <w:sz w:val="24"/>
                  <w:szCs w:val="24"/>
                </w:rPr>
              </m:ctrlPr>
            </m:fPr>
            <m:num>
              <m:nary>
                <m:naryPr>
                  <m:chr m:val="∑"/>
                  <m:limLoc m:val="undOvr"/>
                  <m:ctrlPr>
                    <w:rPr>
                      <w:rFonts w:ascii="Cambria Math" w:hAnsi="Cambria Math"/>
                      <w:i/>
                      <w:sz w:val="24"/>
                      <w:szCs w:val="24"/>
                    </w:rPr>
                  </m:ctrlPr>
                </m:naryPr>
                <m:sub>
                  <m:ctrlPr>
                    <w:rPr>
                      <w:rFonts w:ascii="Cambria Math" w:hAnsi="Cambria Math"/>
                      <w:i/>
                      <w:sz w:val="24"/>
                      <w:szCs w:val="24"/>
                    </w:rPr>
                  </m:ctrlPr>
                </m:sub>
                <m:sup>
                  <m:r>
                    <w:rPr>
                      <w:rFonts w:ascii="Cambria Math"/>
                      <w:sz w:val="24"/>
                      <w:szCs w:val="24"/>
                    </w:rPr>
                    <m:t>N</m:t>
                  </m:r>
                  <m:ctrlPr>
                    <w:rPr>
                      <w:rFonts w:ascii="Cambria Math" w:hAnsi="Cambria Math"/>
                      <w:i/>
                      <w:sz w:val="24"/>
                      <w:szCs w:val="24"/>
                    </w:rPr>
                  </m:ctrlPr>
                </m:sup>
                <m:e>
                  <m:sSub>
                    <m:sSubPr>
                      <m:ctrlPr>
                        <w:rPr>
                          <w:rFonts w:ascii="Cambria Math" w:hAnsi="Cambria Math"/>
                          <w:i/>
                          <w:sz w:val="24"/>
                          <w:szCs w:val="24"/>
                        </w:rPr>
                      </m:ctrlPr>
                    </m:sSubPr>
                    <m:e>
                      <m:r>
                        <w:rPr>
                          <w:rFonts w:ascii="Cambria Math"/>
                          <w:sz w:val="24"/>
                          <w:szCs w:val="24"/>
                        </w:rPr>
                        <m:t>M</m:t>
                      </m:r>
                      <m:ctrlPr>
                        <w:rPr>
                          <w:rFonts w:ascii="Cambria Math" w:hAnsi="Cambria Math"/>
                          <w:i/>
                          <w:sz w:val="24"/>
                          <w:szCs w:val="24"/>
                        </w:rPr>
                      </m:ctrlPr>
                    </m:e>
                    <m:sub>
                      <m:r>
                        <w:rPr>
                          <w:rFonts w:ascii="Cambria Math"/>
                          <w:sz w:val="24"/>
                          <w:szCs w:val="24"/>
                        </w:rPr>
                        <m:t>i</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num>
            <m:den>
              <m:r>
                <w:rPr>
                  <w:rFonts w:ascii="Cambria Math"/>
                  <w:sz w:val="24"/>
                  <w:szCs w:val="24"/>
                </w:rPr>
                <m:t>N</m:t>
              </m:r>
              <m:ctrlPr>
                <w:rPr>
                  <w:rFonts w:ascii="Cambria Math" w:hAnsi="Cambria Math"/>
                  <w:i/>
                  <w:sz w:val="24"/>
                  <w:szCs w:val="24"/>
                </w:rPr>
              </m:ctrlPr>
            </m:den>
          </m:f>
        </m:oMath>
      </m:oMathPara>
    </w:p>
    <w:p>
      <w:pPr>
        <w:adjustRightInd w:val="0"/>
        <w:snapToGrid w:val="0"/>
        <w:spacing w:line="360" w:lineRule="auto"/>
        <w:ind w:firstLine="480" w:firstLineChars="200"/>
        <w:rPr>
          <w:rFonts w:hAnsi="宋体"/>
          <w:sz w:val="24"/>
          <w:szCs w:val="24"/>
        </w:rPr>
      </w:pPr>
      <w:r>
        <w:rPr>
          <w:rFonts w:hAnsi="宋体"/>
          <w:sz w:val="24"/>
          <w:szCs w:val="24"/>
        </w:rPr>
        <w:t>式中</w:t>
      </w:r>
      <m:oMath>
        <m:sSub>
          <m:sSubPr>
            <m:ctrlPr>
              <w:rPr>
                <w:rFonts w:ascii="Cambria Math" w:hAnsi="Cambria Math"/>
                <w:sz w:val="24"/>
                <w:szCs w:val="24"/>
              </w:rPr>
            </m:ctrlPr>
          </m:sSubPr>
          <m:e>
            <m:r>
              <m:rPr>
                <m:sty m:val="p"/>
              </m:rPr>
              <w:rPr>
                <w:rFonts w:ascii="Cambria Math"/>
                <w:sz w:val="24"/>
                <w:szCs w:val="24"/>
              </w:rPr>
              <m:t>M</m:t>
            </m:r>
            <m:ctrlPr>
              <w:rPr>
                <w:rFonts w:ascii="Cambria Math" w:hAnsi="Cambria Math"/>
                <w:sz w:val="24"/>
                <w:szCs w:val="24"/>
              </w:rPr>
            </m:ctrlPr>
          </m:e>
          <m:sub>
            <m:r>
              <m:rPr>
                <m:sty m:val="p"/>
              </m:rPr>
              <w:rPr>
                <w:rFonts w:ascii="Cambria Math"/>
                <w:sz w:val="24"/>
                <w:szCs w:val="24"/>
              </w:rPr>
              <m:t>i</m:t>
            </m:r>
            <m:ctrlPr>
              <w:rPr>
                <w:rFonts w:ascii="Cambria Math" w:hAnsi="Cambria Math"/>
                <w:sz w:val="24"/>
                <w:szCs w:val="24"/>
              </w:rPr>
            </m:ctrlPr>
          </m:sub>
        </m:sSub>
      </m:oMath>
      <w:r>
        <w:rPr>
          <w:rFonts w:hAnsi="宋体"/>
          <w:sz w:val="24"/>
          <w:szCs w:val="24"/>
        </w:rPr>
        <w:t>、</w:t>
      </w:r>
      <m:oMath>
        <m:r>
          <m:rPr>
            <m:sty m:val="p"/>
          </m:rPr>
          <w:rPr>
            <w:rFonts w:ascii="Cambria Math"/>
            <w:sz w:val="24"/>
            <w:szCs w:val="24"/>
          </w:rPr>
          <m:t>N</m:t>
        </m:r>
      </m:oMath>
      <w:r>
        <w:rPr>
          <w:sz w:val="24"/>
          <w:szCs w:val="24"/>
        </w:rPr>
        <w:t xml:space="preserve"> </w:t>
      </w:r>
      <w:r>
        <w:rPr>
          <w:rFonts w:hAnsi="宋体"/>
          <w:sz w:val="24"/>
          <w:szCs w:val="24"/>
        </w:rPr>
        <w:t>分别为课程成绩和课程数（</w:t>
      </w:r>
      <w:r>
        <w:rPr>
          <w:sz w:val="24"/>
          <w:szCs w:val="24"/>
        </w:rPr>
        <w:t>i=1,</w:t>
      </w:r>
      <w:r>
        <w:rPr>
          <w:rFonts w:hint="eastAsia"/>
          <w:sz w:val="24"/>
          <w:szCs w:val="24"/>
        </w:rPr>
        <w:t xml:space="preserve"> </w:t>
      </w:r>
      <w:r>
        <w:rPr>
          <w:sz w:val="24"/>
          <w:szCs w:val="24"/>
        </w:rPr>
        <w:t>2,</w:t>
      </w:r>
      <w:r>
        <w:rPr>
          <w:rFonts w:hint="eastAsia"/>
          <w:sz w:val="24"/>
          <w:szCs w:val="24"/>
        </w:rPr>
        <w:t xml:space="preserve"> </w:t>
      </w:r>
      <w:r>
        <w:rPr>
          <w:sz w:val="24"/>
          <w:szCs w:val="24"/>
        </w:rPr>
        <w:t>3……</w:t>
      </w:r>
      <w:r>
        <w:rPr>
          <w:rFonts w:hint="eastAsia"/>
          <w:sz w:val="24"/>
          <w:szCs w:val="24"/>
        </w:rPr>
        <w:t xml:space="preserve">, </w:t>
      </w:r>
      <w:r>
        <w:rPr>
          <w:sz w:val="24"/>
          <w:szCs w:val="24"/>
        </w:rPr>
        <w:t>N</w:t>
      </w:r>
      <w:r>
        <w:rPr>
          <w:rFonts w:hAnsi="宋体"/>
          <w:sz w:val="24"/>
          <w:szCs w:val="24"/>
        </w:rPr>
        <w:t>）。</w:t>
      </w:r>
    </w:p>
    <w:p>
      <w:pPr>
        <w:adjustRightInd w:val="0"/>
        <w:snapToGrid w:val="0"/>
        <w:spacing w:line="360" w:lineRule="auto"/>
        <w:ind w:firstLine="480" w:firstLineChars="200"/>
        <w:rPr>
          <w:sz w:val="24"/>
          <w:szCs w:val="24"/>
        </w:rPr>
      </w:pPr>
      <w:r>
        <w:rPr>
          <w:rFonts w:hint="eastAsia"/>
          <w:sz w:val="24"/>
          <w:szCs w:val="24"/>
        </w:rPr>
        <w:t>学习成绩计算公式：</w:t>
      </w:r>
    </w:p>
    <w:p>
      <w:pPr>
        <w:adjustRightInd w:val="0"/>
        <w:snapToGrid w:val="0"/>
        <w:spacing w:before="100" w:beforeAutospacing="1" w:after="100" w:afterAutospacing="1" w:line="360" w:lineRule="auto"/>
        <w:ind w:firstLine="480" w:firstLineChars="200"/>
        <w:jc w:val="center"/>
        <w:rPr>
          <w:i/>
          <w:sz w:val="24"/>
          <w:szCs w:val="24"/>
        </w:rPr>
      </w:pPr>
      <m:oMathPara>
        <m:oMath>
          <m:r>
            <w:rPr>
              <w:rFonts w:ascii="Cambria Math" w:hAnsi="Cambria Math"/>
              <w:sz w:val="24"/>
              <w:szCs w:val="24"/>
            </w:rPr>
            <m:t>学习成绩</m:t>
          </m:r>
          <m:r>
            <w:rPr>
              <w:rFonts w:ascii="Cambria Math"/>
              <w:sz w:val="24"/>
              <w:szCs w:val="24"/>
            </w:rPr>
            <m:t>=</m:t>
          </m:r>
          <m:f>
            <m:fPr>
              <m:type m:val="lin"/>
              <m:ctrlPr>
                <w:rPr>
                  <w:rFonts w:ascii="Cambria Math" w:hAnsi="Cambria Math"/>
                  <w:i/>
                  <w:sz w:val="24"/>
                  <w:szCs w:val="24"/>
                </w:rPr>
              </m:ctrlPr>
            </m:fPr>
            <m:num>
              <m:r>
                <w:rPr>
                  <w:rFonts w:ascii="Cambria Math"/>
                  <w:sz w:val="24"/>
                  <w:szCs w:val="24"/>
                </w:rPr>
                <m:t>M</m:t>
              </m:r>
              <m:ctrlPr>
                <w:rPr>
                  <w:rFonts w:ascii="Cambria Math" w:hAnsi="Cambria Math"/>
                  <w:i/>
                  <w:sz w:val="24"/>
                  <w:szCs w:val="24"/>
                </w:rPr>
              </m:ctrlPr>
            </m:num>
            <m:den>
              <m:sSub>
                <m:sSubPr>
                  <m:ctrlPr>
                    <w:rPr>
                      <w:rFonts w:ascii="Cambria Math" w:hAnsi="Cambria Math"/>
                      <w:i/>
                      <w:sz w:val="24"/>
                      <w:szCs w:val="24"/>
                    </w:rPr>
                  </m:ctrlPr>
                </m:sSubPr>
                <m:e>
                  <m:r>
                    <w:rPr>
                      <w:rFonts w:ascii="Cambria Math"/>
                      <w:sz w:val="24"/>
                      <w:szCs w:val="24"/>
                    </w:rPr>
                    <m:t>M</m:t>
                  </m:r>
                  <m:ctrlPr>
                    <w:rPr>
                      <w:rFonts w:ascii="Cambria Math" w:hAnsi="Cambria Math"/>
                      <w:i/>
                      <w:sz w:val="24"/>
                      <w:szCs w:val="24"/>
                    </w:rPr>
                  </m:ctrlPr>
                </m:e>
                <m:sub>
                  <m:r>
                    <w:rPr>
                      <w:rFonts w:ascii="Cambria Math"/>
                      <w:sz w:val="24"/>
                      <w:szCs w:val="24"/>
                    </w:rPr>
                    <m:t>Max</m:t>
                  </m:r>
                  <m:ctrlPr>
                    <w:rPr>
                      <w:rFonts w:ascii="Cambria Math" w:hAnsi="Cambria Math"/>
                      <w:i/>
                      <w:sz w:val="24"/>
                      <w:szCs w:val="24"/>
                    </w:rPr>
                  </m:ctrlPr>
                </m:sub>
              </m:sSub>
              <m:ctrlPr>
                <w:rPr>
                  <w:rFonts w:ascii="Cambria Math" w:hAnsi="Cambria Math"/>
                  <w:i/>
                  <w:sz w:val="24"/>
                  <w:szCs w:val="24"/>
                </w:rPr>
              </m:ctrlPr>
            </m:den>
          </m:f>
          <m:r>
            <w:rPr>
              <w:rFonts w:ascii="Cambria Math" w:hAnsi="Cambria Math"/>
              <w:sz w:val="24"/>
              <w:szCs w:val="24"/>
            </w:rPr>
            <m:t>×</m:t>
          </m:r>
          <m:r>
            <w:rPr>
              <w:rFonts w:ascii="Cambria Math"/>
              <w:sz w:val="24"/>
              <w:szCs w:val="24"/>
            </w:rPr>
            <m:t>20</m:t>
          </m:r>
        </m:oMath>
      </m:oMathPara>
    </w:p>
    <w:p>
      <w:pPr>
        <w:adjustRightInd w:val="0"/>
        <w:snapToGrid w:val="0"/>
        <w:spacing w:line="360" w:lineRule="auto"/>
        <w:ind w:firstLine="480" w:firstLineChars="200"/>
        <w:rPr>
          <w:rFonts w:ascii="宋体" w:hAnsi="宋体"/>
          <w:sz w:val="24"/>
          <w:szCs w:val="24"/>
        </w:rPr>
      </w:pPr>
      <w:r>
        <w:rPr>
          <w:rFonts w:hAnsi="宋体"/>
          <w:sz w:val="24"/>
          <w:szCs w:val="24"/>
        </w:rPr>
        <w:t>式中</w:t>
      </w:r>
      <m:oMath>
        <m:r>
          <m:rPr>
            <m:sty m:val="p"/>
          </m:rPr>
          <w:rPr>
            <w:rFonts w:ascii="Cambria Math"/>
            <w:sz w:val="24"/>
            <w:szCs w:val="24"/>
          </w:rPr>
          <m:t>M</m:t>
        </m:r>
      </m:oMath>
      <w:r>
        <w:rPr>
          <w:sz w:val="24"/>
          <w:szCs w:val="24"/>
        </w:rPr>
        <w:t xml:space="preserve"> </w:t>
      </w:r>
      <w:r>
        <w:rPr>
          <w:rFonts w:hAnsi="宋体"/>
          <w:sz w:val="24"/>
          <w:szCs w:val="24"/>
        </w:rPr>
        <w:t>是个人全部课程平均成绩，</w:t>
      </w:r>
      <m:oMath>
        <m:sSub>
          <m:sSubPr>
            <m:ctrlPr>
              <w:rPr>
                <w:rFonts w:ascii="Cambria Math" w:hAnsi="Cambria Math"/>
                <w:sz w:val="24"/>
                <w:szCs w:val="24"/>
              </w:rPr>
            </m:ctrlPr>
          </m:sSubPr>
          <m:e>
            <m:r>
              <m:rPr>
                <m:sty m:val="p"/>
              </m:rPr>
              <w:rPr>
                <w:rFonts w:ascii="Cambria Math"/>
                <w:sz w:val="24"/>
                <w:szCs w:val="24"/>
              </w:rPr>
              <m:t>M</m:t>
            </m:r>
            <m:ctrlPr>
              <w:rPr>
                <w:rFonts w:ascii="Cambria Math" w:hAnsi="Cambria Math"/>
                <w:sz w:val="24"/>
                <w:szCs w:val="24"/>
              </w:rPr>
            </m:ctrlPr>
          </m:e>
          <m:sub>
            <m:r>
              <m:rPr>
                <m:sty m:val="p"/>
              </m:rPr>
              <w:rPr>
                <w:rFonts w:ascii="Cambria Math"/>
                <w:sz w:val="24"/>
                <w:szCs w:val="24"/>
              </w:rPr>
              <m:t>Max</m:t>
            </m:r>
            <m:ctrlPr>
              <w:rPr>
                <w:rFonts w:ascii="Cambria Math" w:hAnsi="Cambria Math"/>
                <w:sz w:val="24"/>
                <w:szCs w:val="24"/>
              </w:rPr>
            </m:ctrlPr>
          </m:sub>
        </m:sSub>
      </m:oMath>
      <w:r>
        <w:rPr>
          <w:sz w:val="24"/>
          <w:szCs w:val="24"/>
        </w:rPr>
        <w:t xml:space="preserve"> </w:t>
      </w:r>
      <w:r>
        <w:rPr>
          <w:rFonts w:hAnsi="宋体"/>
          <w:sz w:val="24"/>
          <w:szCs w:val="24"/>
        </w:rPr>
        <w:t>是年级最高平均学习</w:t>
      </w:r>
      <w:r>
        <w:rPr>
          <w:rFonts w:hint="eastAsia" w:ascii="宋体" w:hAnsi="宋体" w:cs="仿宋_GB2312"/>
          <w:sz w:val="24"/>
          <w:szCs w:val="24"/>
        </w:rPr>
        <w:t>成绩。</w:t>
      </w:r>
    </w:p>
    <w:p>
      <w:pPr>
        <w:adjustRightInd w:val="0"/>
        <w:snapToGrid w:val="0"/>
        <w:spacing w:line="360" w:lineRule="auto"/>
        <w:ind w:firstLine="562" w:firstLineChars="200"/>
        <w:rPr>
          <w:rFonts w:ascii="宋体" w:hAnsi="宋体"/>
          <w:b/>
          <w:bCs/>
          <w:sz w:val="28"/>
          <w:szCs w:val="28"/>
        </w:rPr>
      </w:pPr>
      <w:r>
        <w:rPr>
          <w:rFonts w:hint="eastAsia" w:ascii="宋体" w:hAnsi="宋体" w:cs="仿宋_GB2312"/>
          <w:b/>
          <w:bCs/>
          <w:sz w:val="28"/>
          <w:szCs w:val="28"/>
        </w:rPr>
        <w:t>二、学术科研分（60</w:t>
      </w:r>
      <w:r>
        <w:rPr>
          <w:rFonts w:ascii="宋体" w:hAnsi="宋体" w:cs="仿宋_GB2312"/>
          <w:b/>
          <w:bCs/>
          <w:sz w:val="28"/>
          <w:szCs w:val="28"/>
        </w:rPr>
        <w:t>%</w:t>
      </w:r>
      <w:r>
        <w:rPr>
          <w:rFonts w:hint="eastAsia" w:ascii="宋体" w:hAnsi="宋体" w:cs="仿宋_GB2312"/>
          <w:b/>
          <w:bCs/>
          <w:sz w:val="28"/>
          <w:szCs w:val="28"/>
        </w:rPr>
        <w:t>）</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该部分采取加分形式，累计加分不超过100分，超过按10</w:t>
      </w:r>
      <w:r>
        <w:rPr>
          <w:rFonts w:ascii="宋体" w:hAnsi="宋体" w:cs="仿宋_GB2312"/>
          <w:sz w:val="24"/>
          <w:szCs w:val="24"/>
        </w:rPr>
        <w:t>0</w:t>
      </w:r>
      <w:r>
        <w:rPr>
          <w:rFonts w:hint="eastAsia" w:ascii="宋体" w:hAnsi="宋体" w:cs="仿宋_GB2312"/>
          <w:sz w:val="24"/>
          <w:szCs w:val="24"/>
        </w:rPr>
        <w:t>分计算。</w:t>
      </w:r>
    </w:p>
    <w:p>
      <w:pPr>
        <w:spacing w:line="360" w:lineRule="auto"/>
        <w:ind w:firstLine="460" w:firstLineChars="200"/>
        <w:jc w:val="left"/>
        <w:rPr>
          <w:rFonts w:ascii="宋体" w:hAnsi="宋体"/>
          <w:color w:val="000000"/>
          <w:sz w:val="23"/>
        </w:rPr>
      </w:pPr>
      <w:r>
        <w:rPr>
          <w:rFonts w:hint="eastAsia" w:ascii="宋体" w:hAnsi="宋体"/>
          <w:color w:val="000000"/>
          <w:sz w:val="23"/>
        </w:rPr>
        <w:t>1.在申请者科研成果有效期内有发表论文、出版著作和获得国家专利等科研成果者，在评优中予以加分，具体加分细则如下：</w:t>
      </w:r>
    </w:p>
    <w:p>
      <w:pPr>
        <w:spacing w:line="360" w:lineRule="auto"/>
        <w:ind w:firstLine="460" w:firstLineChars="200"/>
        <w:jc w:val="left"/>
        <w:rPr>
          <w:rFonts w:ascii="Times New Roman" w:hAnsi="Times New Roman"/>
          <w:color w:val="000000"/>
          <w:sz w:val="23"/>
        </w:rPr>
      </w:pPr>
      <w:r>
        <w:rPr>
          <w:rFonts w:ascii="Times New Roman" w:hAnsi="宋体"/>
          <w:color w:val="000000"/>
          <w:sz w:val="23"/>
        </w:rPr>
        <w:t>①发表论文被</w:t>
      </w:r>
      <w:r>
        <w:rPr>
          <w:rFonts w:ascii="Times New Roman" w:hAnsi="Times New Roman"/>
          <w:color w:val="000000"/>
          <w:sz w:val="23"/>
        </w:rPr>
        <w:t>SCI</w:t>
      </w:r>
      <w:r>
        <w:rPr>
          <w:rFonts w:ascii="Times New Roman" w:hAnsi="宋体"/>
          <w:color w:val="000000"/>
          <w:sz w:val="23"/>
        </w:rPr>
        <w:t>收录：</w:t>
      </w:r>
    </w:p>
    <w:p>
      <w:pPr>
        <w:spacing w:line="360" w:lineRule="auto"/>
        <w:ind w:firstLine="460" w:firstLineChars="200"/>
        <w:jc w:val="left"/>
        <w:rPr>
          <w:rFonts w:ascii="Times New Roman" w:hAnsi="Times New Roman"/>
          <w:color w:val="000000"/>
          <w:sz w:val="23"/>
        </w:rPr>
      </w:pPr>
      <w:r>
        <w:rPr>
          <w:rFonts w:ascii="Times New Roman" w:hAnsi="Times New Roman"/>
          <w:color w:val="000000"/>
          <w:sz w:val="23"/>
        </w:rPr>
        <w:t>SCI</w:t>
      </w:r>
      <w:r>
        <w:rPr>
          <w:rFonts w:ascii="Times New Roman" w:hAnsi="宋体"/>
          <w:color w:val="000000"/>
          <w:sz w:val="23"/>
        </w:rPr>
        <w:t>论文计分</w:t>
      </w:r>
      <w:r>
        <w:rPr>
          <w:rFonts w:ascii="Times New Roman" w:hAnsi="Times New Roman"/>
          <w:color w:val="000000"/>
          <w:sz w:val="23"/>
        </w:rPr>
        <w:t>= 40</w:t>
      </w:r>
      <w:r>
        <w:rPr>
          <w:rFonts w:ascii="Times New Roman" w:hAnsi="宋体"/>
          <w:color w:val="000000"/>
          <w:sz w:val="23"/>
        </w:rPr>
        <w:t>分</w:t>
      </w:r>
      <w:r>
        <w:rPr>
          <w:rFonts w:ascii="Times New Roman" w:hAnsi="Times New Roman"/>
          <w:color w:val="000000"/>
          <w:sz w:val="23"/>
        </w:rPr>
        <w:t>+20</w:t>
      </w:r>
      <w:r>
        <w:rPr>
          <w:rFonts w:ascii="Times New Roman" w:hAnsi="宋体"/>
          <w:color w:val="000000"/>
          <w:sz w:val="23"/>
        </w:rPr>
        <w:t>分</w:t>
      </w:r>
      <w:r>
        <w:rPr>
          <w:rFonts w:ascii="Times New Roman" w:hAnsi="Times New Roman"/>
          <w:color w:val="000000"/>
          <w:sz w:val="23"/>
        </w:rPr>
        <w:t>×</w:t>
      </w:r>
      <w:r>
        <w:rPr>
          <w:rFonts w:ascii="Times New Roman" w:hAnsi="宋体"/>
          <w:color w:val="000000"/>
          <w:sz w:val="23"/>
        </w:rPr>
        <w:t>区系数</w:t>
      </w:r>
      <w:r>
        <w:rPr>
          <w:rFonts w:ascii="Times New Roman" w:hAnsi="Times New Roman"/>
          <w:color w:val="000000"/>
          <w:sz w:val="23"/>
        </w:rPr>
        <w:t>×</w:t>
      </w:r>
      <w:r>
        <w:rPr>
          <w:rFonts w:ascii="Times New Roman" w:hAnsi="宋体"/>
          <w:color w:val="000000"/>
          <w:sz w:val="23"/>
        </w:rPr>
        <w:t>影响因子</w:t>
      </w:r>
    </w:p>
    <w:p>
      <w:pPr>
        <w:spacing w:line="360" w:lineRule="auto"/>
        <w:ind w:firstLine="460" w:firstLineChars="200"/>
        <w:jc w:val="left"/>
        <w:rPr>
          <w:rFonts w:ascii="Times New Roman" w:hAnsi="Times New Roman"/>
          <w:color w:val="000000"/>
          <w:sz w:val="23"/>
        </w:rPr>
      </w:pPr>
      <w:r>
        <w:rPr>
          <w:rFonts w:ascii="Times New Roman" w:hAnsi="宋体"/>
          <w:color w:val="000000"/>
          <w:sz w:val="23"/>
        </w:rPr>
        <w:t>区系数：</w:t>
      </w:r>
      <w:r>
        <w:rPr>
          <w:rFonts w:ascii="Times New Roman" w:hAnsi="Times New Roman"/>
          <w:color w:val="000000"/>
          <w:sz w:val="23"/>
        </w:rPr>
        <w:t>I</w:t>
      </w:r>
      <w:r>
        <w:rPr>
          <w:rFonts w:ascii="Times New Roman" w:hAnsi="宋体"/>
          <w:color w:val="000000"/>
          <w:sz w:val="23"/>
        </w:rPr>
        <w:t>区系数为</w:t>
      </w:r>
      <w:r>
        <w:rPr>
          <w:rFonts w:ascii="Times New Roman" w:hAnsi="Times New Roman"/>
          <w:color w:val="000000"/>
          <w:sz w:val="23"/>
        </w:rPr>
        <w:t>1</w:t>
      </w:r>
      <w:r>
        <w:rPr>
          <w:rFonts w:ascii="Times New Roman" w:hAnsi="宋体"/>
          <w:color w:val="000000"/>
          <w:sz w:val="23"/>
        </w:rPr>
        <w:t>，</w:t>
      </w:r>
      <w:r>
        <w:rPr>
          <w:rFonts w:ascii="Times New Roman" w:hAnsi="Times New Roman"/>
          <w:color w:val="000000"/>
          <w:sz w:val="23"/>
        </w:rPr>
        <w:t>II</w:t>
      </w:r>
      <w:r>
        <w:rPr>
          <w:rFonts w:ascii="Times New Roman" w:hAnsi="宋体"/>
          <w:color w:val="000000"/>
          <w:sz w:val="23"/>
        </w:rPr>
        <w:t>区系数为</w:t>
      </w:r>
      <w:r>
        <w:rPr>
          <w:rFonts w:ascii="Times New Roman" w:hAnsi="Times New Roman"/>
          <w:color w:val="000000"/>
          <w:sz w:val="23"/>
        </w:rPr>
        <w:t>0.8</w:t>
      </w:r>
      <w:r>
        <w:rPr>
          <w:rFonts w:ascii="Times New Roman" w:hAnsi="宋体"/>
          <w:color w:val="000000"/>
          <w:sz w:val="23"/>
        </w:rPr>
        <w:t>，</w:t>
      </w:r>
      <w:r>
        <w:rPr>
          <w:rFonts w:ascii="Times New Roman" w:hAnsi="Times New Roman"/>
          <w:color w:val="000000"/>
          <w:sz w:val="23"/>
        </w:rPr>
        <w:t xml:space="preserve">III </w:t>
      </w:r>
      <w:r>
        <w:rPr>
          <w:rFonts w:ascii="Times New Roman" w:hAnsi="宋体"/>
          <w:color w:val="000000"/>
          <w:sz w:val="23"/>
        </w:rPr>
        <w:t>区系数为</w:t>
      </w:r>
      <w:r>
        <w:rPr>
          <w:rFonts w:ascii="Times New Roman" w:hAnsi="Times New Roman"/>
          <w:color w:val="000000"/>
          <w:sz w:val="23"/>
        </w:rPr>
        <w:t>0.6</w:t>
      </w:r>
      <w:r>
        <w:rPr>
          <w:rFonts w:ascii="Times New Roman" w:hAnsi="宋体"/>
          <w:color w:val="000000"/>
          <w:sz w:val="23"/>
        </w:rPr>
        <w:t>，</w:t>
      </w:r>
      <w:r>
        <w:rPr>
          <w:rFonts w:ascii="Times New Roman" w:hAnsi="Times New Roman"/>
          <w:color w:val="000000"/>
          <w:sz w:val="23"/>
        </w:rPr>
        <w:t>IV</w:t>
      </w:r>
      <w:r>
        <w:rPr>
          <w:rFonts w:ascii="Times New Roman" w:hAnsi="宋体"/>
          <w:color w:val="000000"/>
          <w:sz w:val="23"/>
        </w:rPr>
        <w:t>区系数为</w:t>
      </w:r>
      <w:r>
        <w:rPr>
          <w:rFonts w:ascii="Times New Roman" w:hAnsi="Times New Roman"/>
          <w:color w:val="000000"/>
          <w:sz w:val="23"/>
        </w:rPr>
        <w:t>0.4</w:t>
      </w:r>
      <w:r>
        <w:rPr>
          <w:rFonts w:ascii="Times New Roman" w:hAnsi="宋体"/>
          <w:color w:val="000000"/>
          <w:sz w:val="23"/>
        </w:rPr>
        <w:t>；</w:t>
      </w:r>
    </w:p>
    <w:p>
      <w:pPr>
        <w:spacing w:line="360" w:lineRule="auto"/>
        <w:ind w:firstLine="460" w:firstLineChars="200"/>
        <w:jc w:val="left"/>
        <w:rPr>
          <w:rFonts w:ascii="Times New Roman" w:hAnsi="Times New Roman"/>
          <w:color w:val="000000"/>
          <w:sz w:val="23"/>
        </w:rPr>
      </w:pPr>
      <w:r>
        <w:rPr>
          <w:rFonts w:ascii="Times New Roman" w:hAnsi="宋体"/>
          <w:color w:val="000000"/>
          <w:sz w:val="23"/>
        </w:rPr>
        <w:t>被</w:t>
      </w:r>
      <w:r>
        <w:rPr>
          <w:rFonts w:ascii="Times New Roman" w:hAnsi="Times New Roman"/>
          <w:color w:val="000000"/>
          <w:sz w:val="23"/>
        </w:rPr>
        <w:t>SCI</w:t>
      </w:r>
      <w:r>
        <w:rPr>
          <w:rFonts w:ascii="Times New Roman" w:hAnsi="宋体"/>
          <w:color w:val="000000"/>
          <w:sz w:val="23"/>
        </w:rPr>
        <w:t>收录的英文简报、通告、增刊均计</w:t>
      </w:r>
      <w:r>
        <w:rPr>
          <w:rFonts w:ascii="Times New Roman" w:hAnsi="Times New Roman"/>
          <w:color w:val="000000"/>
          <w:sz w:val="23"/>
        </w:rPr>
        <w:t>10</w:t>
      </w:r>
      <w:r>
        <w:rPr>
          <w:rFonts w:ascii="Times New Roman" w:hAnsi="宋体"/>
          <w:color w:val="000000"/>
          <w:sz w:val="23"/>
        </w:rPr>
        <w:t>分；</w:t>
      </w:r>
    </w:p>
    <w:p>
      <w:pPr>
        <w:spacing w:line="360" w:lineRule="auto"/>
        <w:ind w:firstLine="460" w:firstLineChars="200"/>
        <w:jc w:val="left"/>
        <w:rPr>
          <w:rFonts w:ascii="Times New Roman" w:hAnsi="Times New Roman"/>
          <w:color w:val="000000"/>
          <w:sz w:val="23"/>
        </w:rPr>
      </w:pPr>
      <w:r>
        <w:rPr>
          <w:rFonts w:ascii="Times New Roman" w:hAnsi="宋体"/>
          <w:color w:val="000000"/>
          <w:sz w:val="23"/>
        </w:rPr>
        <w:t>被</w:t>
      </w:r>
      <w:r>
        <w:rPr>
          <w:rFonts w:ascii="Times New Roman" w:hAnsi="Times New Roman"/>
          <w:color w:val="000000"/>
          <w:sz w:val="23"/>
        </w:rPr>
        <w:t>EI</w:t>
      </w:r>
      <w:r>
        <w:rPr>
          <w:rFonts w:ascii="Times New Roman" w:hAnsi="宋体"/>
          <w:color w:val="000000"/>
          <w:sz w:val="23"/>
        </w:rPr>
        <w:t>收录的英文全文发表的文章计</w:t>
      </w:r>
      <w:r>
        <w:rPr>
          <w:rFonts w:ascii="Times New Roman" w:hAnsi="Times New Roman"/>
          <w:color w:val="000000"/>
          <w:sz w:val="23"/>
        </w:rPr>
        <w:t>40</w:t>
      </w:r>
      <w:r>
        <w:rPr>
          <w:rFonts w:ascii="Times New Roman" w:hAnsi="宋体"/>
          <w:color w:val="000000"/>
          <w:sz w:val="23"/>
        </w:rPr>
        <w:t>分（会议论文除外）。</w:t>
      </w:r>
    </w:p>
    <w:p>
      <w:pPr>
        <w:spacing w:line="360" w:lineRule="auto"/>
        <w:ind w:firstLine="460" w:firstLineChars="200"/>
        <w:jc w:val="left"/>
        <w:rPr>
          <w:rFonts w:ascii="Times New Roman" w:hAnsi="Times New Roman"/>
          <w:color w:val="000000"/>
          <w:sz w:val="23"/>
        </w:rPr>
      </w:pPr>
      <w:r>
        <w:rPr>
          <w:rFonts w:ascii="Times New Roman" w:hAnsi="宋体"/>
          <w:color w:val="000000"/>
          <w:sz w:val="23"/>
        </w:rPr>
        <w:t>②在中文一级核心期刊发表论文或发表中文论文被</w:t>
      </w:r>
      <w:r>
        <w:rPr>
          <w:rFonts w:ascii="Times New Roman" w:hAnsi="Times New Roman"/>
          <w:color w:val="000000"/>
          <w:sz w:val="23"/>
        </w:rPr>
        <w:t>EI</w:t>
      </w:r>
      <w:r>
        <w:rPr>
          <w:rFonts w:ascii="Times New Roman" w:hAnsi="宋体"/>
          <w:color w:val="000000"/>
          <w:sz w:val="23"/>
        </w:rPr>
        <w:t>收录、获得国家发明专利的，每项加</w:t>
      </w:r>
      <w:r>
        <w:rPr>
          <w:rFonts w:ascii="Times New Roman" w:hAnsi="Times New Roman"/>
          <w:color w:val="000000"/>
          <w:sz w:val="23"/>
        </w:rPr>
        <w:t>30</w:t>
      </w:r>
      <w:r>
        <w:rPr>
          <w:rFonts w:ascii="Times New Roman" w:hAnsi="宋体"/>
          <w:color w:val="000000"/>
          <w:sz w:val="23"/>
        </w:rPr>
        <w:t>分。</w:t>
      </w:r>
    </w:p>
    <w:p>
      <w:pPr>
        <w:spacing w:line="360" w:lineRule="auto"/>
        <w:ind w:firstLine="460" w:firstLineChars="200"/>
        <w:jc w:val="left"/>
        <w:rPr>
          <w:rFonts w:ascii="Times New Roman" w:hAnsi="Times New Roman"/>
          <w:color w:val="000000"/>
          <w:sz w:val="23"/>
        </w:rPr>
      </w:pPr>
      <w:r>
        <w:rPr>
          <w:rFonts w:ascii="Times New Roman" w:hAnsi="宋体"/>
          <w:color w:val="000000"/>
          <w:sz w:val="23"/>
        </w:rPr>
        <w:t>③在中文二级核心期刊发表论文，每项加</w:t>
      </w:r>
      <w:r>
        <w:rPr>
          <w:rFonts w:ascii="Times New Roman" w:hAnsi="Times New Roman"/>
          <w:color w:val="000000"/>
          <w:sz w:val="23"/>
        </w:rPr>
        <w:t>15</w:t>
      </w:r>
      <w:r>
        <w:rPr>
          <w:rFonts w:ascii="Times New Roman" w:hAnsi="宋体"/>
          <w:color w:val="000000"/>
          <w:sz w:val="23"/>
        </w:rPr>
        <w:t>分。</w:t>
      </w:r>
    </w:p>
    <w:p>
      <w:pPr>
        <w:spacing w:line="360" w:lineRule="auto"/>
        <w:ind w:firstLine="460" w:firstLineChars="200"/>
        <w:jc w:val="left"/>
        <w:rPr>
          <w:rFonts w:ascii="Times New Roman" w:hAnsi="Times New Roman"/>
          <w:sz w:val="23"/>
        </w:rPr>
      </w:pPr>
      <w:r>
        <w:rPr>
          <w:rFonts w:ascii="宋体" w:hAnsi="宋体"/>
          <w:sz w:val="23"/>
        </w:rPr>
        <w:t>④</w:t>
      </w:r>
      <w:r>
        <w:rPr>
          <w:rFonts w:ascii="Times New Roman"/>
          <w:sz w:val="23"/>
        </w:rPr>
        <w:t>获得国家实用新型专利、外观设计专利、软件著作权者，每项加</w:t>
      </w:r>
      <w:r>
        <w:rPr>
          <w:rFonts w:ascii="Times New Roman" w:hAnsi="Times New Roman"/>
          <w:sz w:val="23"/>
        </w:rPr>
        <w:t>15</w:t>
      </w:r>
      <w:r>
        <w:rPr>
          <w:rFonts w:ascii="Times New Roman"/>
          <w:sz w:val="23"/>
        </w:rPr>
        <w:t>分。</w:t>
      </w:r>
    </w:p>
    <w:p>
      <w:pPr>
        <w:spacing w:line="360" w:lineRule="auto"/>
        <w:ind w:firstLine="460" w:firstLineChars="200"/>
        <w:jc w:val="left"/>
        <w:rPr>
          <w:rFonts w:ascii="Times New Roman" w:hAnsi="Times New Roman"/>
          <w:sz w:val="23"/>
        </w:rPr>
      </w:pPr>
      <w:r>
        <w:rPr>
          <w:rFonts w:ascii="宋体" w:hAnsi="宋体"/>
          <w:sz w:val="23"/>
        </w:rPr>
        <w:t>⑤</w:t>
      </w:r>
      <w:r>
        <w:rPr>
          <w:rFonts w:ascii="Times New Roman"/>
          <w:sz w:val="23"/>
        </w:rPr>
        <w:t>在一般学术刊物上发表论文者，每篇加</w:t>
      </w:r>
      <w:r>
        <w:rPr>
          <w:rFonts w:ascii="Times New Roman" w:hAnsi="Times New Roman"/>
          <w:sz w:val="23"/>
        </w:rPr>
        <w:t>5</w:t>
      </w:r>
      <w:r>
        <w:rPr>
          <w:rFonts w:ascii="Times New Roman"/>
          <w:sz w:val="23"/>
        </w:rPr>
        <w:t>分。</w:t>
      </w:r>
    </w:p>
    <w:p>
      <w:pPr>
        <w:spacing w:line="360" w:lineRule="auto"/>
        <w:ind w:firstLine="460" w:firstLineChars="200"/>
        <w:jc w:val="left"/>
        <w:rPr>
          <w:rFonts w:ascii="Times New Roman" w:hAnsi="Times New Roman"/>
          <w:sz w:val="23"/>
        </w:rPr>
      </w:pPr>
      <w:r>
        <w:rPr>
          <w:rFonts w:ascii="宋体" w:hAnsi="宋体"/>
          <w:sz w:val="23"/>
        </w:rPr>
        <w:t>⑥</w:t>
      </w:r>
      <w:r>
        <w:rPr>
          <w:rFonts w:ascii="Times New Roman"/>
          <w:sz w:val="23"/>
        </w:rPr>
        <w:t>在专业、行业会议或增刊上发表论文者，每篇加</w:t>
      </w:r>
      <w:r>
        <w:rPr>
          <w:rFonts w:ascii="Times New Roman" w:hAnsi="Times New Roman"/>
          <w:sz w:val="23"/>
        </w:rPr>
        <w:t>2</w:t>
      </w:r>
      <w:r>
        <w:rPr>
          <w:rFonts w:ascii="Times New Roman"/>
          <w:sz w:val="23"/>
        </w:rPr>
        <w:t>分。</w:t>
      </w:r>
    </w:p>
    <w:p>
      <w:pPr>
        <w:spacing w:line="360" w:lineRule="auto"/>
        <w:ind w:firstLine="460" w:firstLineChars="200"/>
        <w:jc w:val="left"/>
        <w:rPr>
          <w:sz w:val="23"/>
        </w:rPr>
      </w:pPr>
    </w:p>
    <w:p>
      <w:pPr>
        <w:adjustRightInd w:val="0"/>
        <w:snapToGrid w:val="0"/>
        <w:spacing w:line="360" w:lineRule="auto"/>
        <w:ind w:firstLine="460" w:firstLineChars="200"/>
        <w:rPr>
          <w:sz w:val="23"/>
        </w:rPr>
      </w:pPr>
      <w:r>
        <w:rPr>
          <w:sz w:val="23"/>
        </w:rPr>
        <w:t>说明：</w:t>
      </w:r>
      <w:r>
        <w:rPr>
          <w:rFonts w:hint="eastAsia"/>
          <w:sz w:val="23"/>
        </w:rPr>
        <w:t>以上</w:t>
      </w:r>
      <w:r>
        <w:rPr>
          <w:sz w:val="23"/>
        </w:rPr>
        <w:t>成果均需</w:t>
      </w:r>
      <w:r>
        <w:rPr>
          <w:rFonts w:hint="eastAsia"/>
          <w:sz w:val="23"/>
        </w:rPr>
        <w:t>研究生</w:t>
      </w:r>
      <w:r>
        <w:rPr>
          <w:sz w:val="23"/>
        </w:rPr>
        <w:t>为第一作者，</w:t>
      </w:r>
      <w:r>
        <w:rPr>
          <w:rFonts w:hint="eastAsia"/>
          <w:sz w:val="23"/>
        </w:rPr>
        <w:t>或者</w:t>
      </w:r>
      <w:r>
        <w:rPr>
          <w:sz w:val="23"/>
        </w:rPr>
        <w:t>研究生导师</w:t>
      </w:r>
      <w:r>
        <w:rPr>
          <w:rFonts w:hint="eastAsia"/>
          <w:sz w:val="23"/>
        </w:rPr>
        <w:t>为第一作者研究生为</w:t>
      </w:r>
      <w:r>
        <w:rPr>
          <w:sz w:val="23"/>
        </w:rPr>
        <w:t>第二作者。</w:t>
      </w:r>
    </w:p>
    <w:p>
      <w:pPr>
        <w:adjustRightInd w:val="0"/>
        <w:snapToGrid w:val="0"/>
        <w:spacing w:line="360" w:lineRule="auto"/>
        <w:ind w:firstLine="480" w:firstLineChars="200"/>
        <w:rPr>
          <w:rFonts w:ascii="宋体" w:hAnsi="宋体" w:cs="仿宋_GB2312"/>
          <w:sz w:val="24"/>
          <w:szCs w:val="24"/>
        </w:rPr>
      </w:pPr>
      <w:bookmarkStart w:id="0" w:name="_GoBack"/>
      <w:bookmarkEnd w:id="0"/>
      <w:r>
        <w:rPr>
          <w:rFonts w:hint="eastAsia" w:ascii="宋体" w:hAnsi="宋体" w:cs="仿宋_GB2312"/>
          <w:sz w:val="24"/>
          <w:szCs w:val="24"/>
        </w:rPr>
        <w:t>博士研究生新生在硕士研究生阶段所发表的文章（论文）是指全文发表的科学研究论文（</w:t>
      </w:r>
      <w:r>
        <w:rPr>
          <w:rFonts w:ascii="宋体" w:hAnsi="宋体" w:cs="仿宋_GB2312"/>
          <w:sz w:val="24"/>
          <w:szCs w:val="24"/>
        </w:rPr>
        <w:t>research paper</w:t>
      </w:r>
      <w:r>
        <w:rPr>
          <w:rFonts w:hint="eastAsia" w:ascii="宋体" w:hAnsi="宋体" w:cs="仿宋_GB2312"/>
          <w:sz w:val="24"/>
          <w:szCs w:val="24"/>
        </w:rPr>
        <w:t>）。</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2. 在申请者科研成果有效期内主持研究课题或主持、参与课题获各级奖励，可按以下计分方法累加分值：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①作为第一主持人主持课题，</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在申请者科研成果有效期内</w:t>
      </w:r>
      <w:r>
        <w:rPr>
          <w:rFonts w:hint="eastAsia" w:ascii="宋体" w:hAnsi="宋体"/>
          <w:sz w:val="24"/>
          <w:szCs w:val="24"/>
        </w:rPr>
        <w:t>已立项的，可申请加第一次分，国家级加10分，省（部）级加8分，校（市）级加5分，院级加3分；</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在申请者科研成果有效期内立项后</w:t>
      </w:r>
      <w:r>
        <w:rPr>
          <w:rFonts w:hint="eastAsia" w:ascii="宋体" w:hAnsi="宋体"/>
          <w:sz w:val="24"/>
          <w:szCs w:val="24"/>
        </w:rPr>
        <w:t>已结题的，可申请加第二次分，国家级加10分，省（部）级加8分，校（市）级加5分，院级加3分。</w:t>
      </w:r>
    </w:p>
    <w:p>
      <w:pPr>
        <w:adjustRightInd w:val="0"/>
        <w:snapToGrid w:val="0"/>
        <w:spacing w:line="360" w:lineRule="auto"/>
        <w:ind w:firstLine="482" w:firstLineChars="200"/>
        <w:rPr>
          <w:rFonts w:ascii="宋体" w:hAnsi="宋体"/>
          <w:sz w:val="24"/>
          <w:szCs w:val="24"/>
        </w:rPr>
      </w:pPr>
      <w:r>
        <w:rPr>
          <w:rFonts w:hint="eastAsia" w:ascii="宋体" w:hAnsi="宋体" w:cs="仿宋_GB2312"/>
          <w:b/>
          <w:sz w:val="24"/>
          <w:szCs w:val="24"/>
        </w:rPr>
        <w:t>说明：</w:t>
      </w:r>
      <w:r>
        <w:rPr>
          <w:rFonts w:hint="eastAsia" w:ascii="宋体" w:hAnsi="宋体"/>
          <w:sz w:val="24"/>
          <w:szCs w:val="24"/>
        </w:rPr>
        <w:t>若项目属于横向性质的，可</w:t>
      </w:r>
      <w:r>
        <w:rPr>
          <w:rFonts w:hint="eastAsia" w:ascii="宋体" w:hAnsi="宋体" w:cs="仿宋_GB2312"/>
          <w:sz w:val="24"/>
          <w:szCs w:val="24"/>
        </w:rPr>
        <w:t>参照华南农业大学人事处同期专业技术职务评审办法</w:t>
      </w:r>
      <w:r>
        <w:rPr>
          <w:rFonts w:hint="eastAsia" w:ascii="宋体" w:hAnsi="宋体"/>
          <w:sz w:val="24"/>
          <w:szCs w:val="24"/>
        </w:rPr>
        <w:t>，达到A类项目条件的可按照国家级加分，达到B类项目条件的可按照省（部）级加分，达到C类项目条件的可按照校（市）级加分。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所有课题只能加一次立项分、一次结题分，不能跨评优周期重复加分。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②主持、参与课题获奖，</w:t>
      </w:r>
    </w:p>
    <w:p>
      <w:pPr>
        <w:adjustRightInd w:val="0"/>
        <w:snapToGrid w:val="0"/>
        <w:spacing w:before="100" w:beforeAutospacing="1" w:after="100" w:afterAutospacing="1" w:line="360" w:lineRule="auto"/>
        <w:ind w:firstLine="480" w:firstLineChars="200"/>
        <w:rPr>
          <w:rFonts w:ascii="宋体" w:hAnsi="宋体" w:cs="仿宋_GB2312"/>
          <w:i/>
          <w:sz w:val="24"/>
          <w:szCs w:val="24"/>
        </w:rPr>
      </w:pPr>
      <m:oMathPara>
        <m:oMath>
          <m:r>
            <w:rPr>
              <w:rFonts w:ascii="Cambria Math" w:hAnsi="Cambria Math" w:cs="仿宋_GB2312"/>
              <w:sz w:val="24"/>
              <w:szCs w:val="24"/>
            </w:rPr>
            <m:t>分数</m:t>
          </m:r>
          <m:r>
            <w:rPr>
              <w:rFonts w:ascii="Cambria Math" w:hAnsi="宋体" w:cs="仿宋_GB2312"/>
              <w:sz w:val="24"/>
              <w:szCs w:val="24"/>
            </w:rPr>
            <m:t>=</m:t>
          </m:r>
          <m:r>
            <w:rPr>
              <w:rFonts w:ascii="Cambria Math" w:hAnsi="Cambria Math" w:cs="仿宋_GB2312"/>
              <w:sz w:val="24"/>
              <w:szCs w:val="24"/>
            </w:rPr>
            <m:t>具体分值-</m:t>
          </m:r>
          <m:f>
            <m:fPr>
              <m:ctrlPr>
                <w:rPr>
                  <w:rFonts w:ascii="Cambria Math" w:hAnsi="宋体" w:cs="仿宋_GB2312"/>
                  <w:i/>
                  <w:sz w:val="24"/>
                  <w:szCs w:val="24"/>
                </w:rPr>
              </m:ctrlPr>
            </m:fPr>
            <m:num>
              <m:r>
                <w:rPr>
                  <w:rFonts w:ascii="Cambria Math" w:hAnsi="Cambria Math" w:cs="仿宋_GB2312"/>
                  <w:sz w:val="24"/>
                  <w:szCs w:val="24"/>
                </w:rPr>
                <m:t>（本人在课题团队中次序排名-</m:t>
              </m:r>
              <m:r>
                <w:rPr>
                  <w:rFonts w:ascii="Cambria Math" w:hAnsi="宋体" w:cs="仿宋_GB2312"/>
                  <w:sz w:val="24"/>
                  <w:szCs w:val="24"/>
                </w:rPr>
                <m:t>1</m:t>
              </m:r>
              <m:r>
                <w:rPr>
                  <w:rFonts w:ascii="Cambria Math" w:hAnsi="Cambria Math" w:cs="仿宋_GB2312"/>
                  <w:sz w:val="24"/>
                  <w:szCs w:val="24"/>
                </w:rPr>
                <m:t>）</m:t>
              </m:r>
              <m:r>
                <w:rPr>
                  <w:rFonts w:ascii="Cambria Math" w:hAnsi="宋体" w:cs="仿宋_GB2312"/>
                  <w:sz w:val="24"/>
                  <w:szCs w:val="24"/>
                </w:rPr>
                <m:t>×</m:t>
              </m:r>
              <m:r>
                <w:rPr>
                  <w:rFonts w:ascii="Cambria Math" w:hAnsi="Cambria Math" w:cs="仿宋_GB2312"/>
                  <w:sz w:val="24"/>
                  <w:szCs w:val="24"/>
                </w:rPr>
                <m:t>具体分值</m:t>
              </m:r>
              <m:ctrlPr>
                <w:rPr>
                  <w:rFonts w:ascii="Cambria Math" w:hAnsi="宋体" w:cs="仿宋_GB2312"/>
                  <w:i/>
                  <w:sz w:val="24"/>
                  <w:szCs w:val="24"/>
                </w:rPr>
              </m:ctrlPr>
            </m:num>
            <m:den>
              <m:r>
                <w:rPr>
                  <w:rFonts w:ascii="Cambria Math" w:hAnsi="Cambria Math" w:cs="仿宋_GB2312"/>
                  <w:sz w:val="24"/>
                  <w:szCs w:val="24"/>
                </w:rPr>
                <m:t>课题团队总人数</m:t>
              </m:r>
              <m:ctrlPr>
                <w:rPr>
                  <w:rFonts w:ascii="Cambria Math" w:hAnsi="宋体" w:cs="仿宋_GB2312"/>
                  <w:i/>
                  <w:sz w:val="24"/>
                  <w:szCs w:val="24"/>
                </w:rPr>
              </m:ctrlPr>
            </m:den>
          </m:f>
        </m:oMath>
      </m:oMathPara>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具体分值：</w:t>
      </w:r>
    </w:p>
    <w:p>
      <w:pPr>
        <w:adjustRightInd w:val="0"/>
        <w:snapToGrid w:val="0"/>
        <w:spacing w:line="360" w:lineRule="auto"/>
        <w:ind w:firstLine="480" w:firstLineChars="200"/>
        <w:rPr>
          <w:rFonts w:ascii="宋体" w:hAnsi="宋体"/>
          <w:sz w:val="24"/>
          <w:szCs w:val="24"/>
        </w:rPr>
      </w:pPr>
      <w:r>
        <w:rPr>
          <w:rFonts w:hint="eastAsia" w:ascii="宋体" w:hAnsi="宋体" w:cs="仿宋_GB2312"/>
          <w:sz w:val="24"/>
          <w:szCs w:val="24"/>
        </w:rPr>
        <w:t>国家级奖励，一等奖1</w:t>
      </w:r>
      <w:r>
        <w:rPr>
          <w:rFonts w:ascii="宋体" w:hAnsi="宋体" w:cs="仿宋_GB2312"/>
          <w:sz w:val="24"/>
          <w:szCs w:val="24"/>
        </w:rPr>
        <w:t>00</w:t>
      </w:r>
      <w:r>
        <w:rPr>
          <w:rFonts w:hint="eastAsia" w:ascii="宋体" w:hAnsi="宋体" w:cs="仿宋_GB2312"/>
          <w:sz w:val="24"/>
          <w:szCs w:val="24"/>
        </w:rPr>
        <w:t>分，二等奖90分，三等奖80分，其它等级70分；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省部级</w:t>
      </w:r>
      <w:r>
        <w:rPr>
          <w:rFonts w:hint="eastAsia" w:ascii="宋体" w:hAnsi="宋体" w:cs="仿宋_GB2312"/>
          <w:sz w:val="24"/>
          <w:szCs w:val="24"/>
        </w:rPr>
        <w:t>奖励，一等奖7</w:t>
      </w:r>
      <w:r>
        <w:rPr>
          <w:rFonts w:ascii="宋体" w:hAnsi="宋体" w:cs="仿宋_GB2312"/>
          <w:sz w:val="24"/>
          <w:szCs w:val="24"/>
        </w:rPr>
        <w:t>0</w:t>
      </w:r>
      <w:r>
        <w:rPr>
          <w:rFonts w:hint="eastAsia" w:ascii="宋体" w:hAnsi="宋体" w:cs="仿宋_GB2312"/>
          <w:sz w:val="24"/>
          <w:szCs w:val="24"/>
        </w:rPr>
        <w:t>分，二等奖60分，三等奖50分，其它等级40分；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厅局级奖励：一等奖4</w:t>
      </w:r>
      <w:r>
        <w:rPr>
          <w:rFonts w:ascii="宋体" w:hAnsi="宋体" w:cs="仿宋_GB2312"/>
          <w:sz w:val="24"/>
          <w:szCs w:val="24"/>
        </w:rPr>
        <w:t>0</w:t>
      </w:r>
      <w:r>
        <w:rPr>
          <w:rFonts w:hint="eastAsia" w:ascii="宋体" w:hAnsi="宋体" w:cs="仿宋_GB2312"/>
          <w:sz w:val="24"/>
          <w:szCs w:val="24"/>
        </w:rPr>
        <w:t>分，二等奖30分，三等奖20分，其它等级10分。</w:t>
      </w:r>
    </w:p>
    <w:p>
      <w:pPr>
        <w:adjustRightInd w:val="0"/>
        <w:snapToGrid w:val="0"/>
        <w:spacing w:line="360" w:lineRule="auto"/>
        <w:ind w:firstLine="482" w:firstLineChars="200"/>
        <w:rPr>
          <w:rFonts w:ascii="宋体" w:hAnsi="宋体"/>
          <w:sz w:val="24"/>
          <w:szCs w:val="24"/>
        </w:rPr>
      </w:pPr>
      <w:r>
        <w:rPr>
          <w:rFonts w:hint="eastAsia" w:ascii="宋体" w:hAnsi="宋体" w:cs="仿宋_GB2312"/>
          <w:b/>
          <w:sz w:val="24"/>
          <w:szCs w:val="24"/>
        </w:rPr>
        <w:t>说明：</w:t>
      </w:r>
      <w:r>
        <w:rPr>
          <w:rFonts w:hint="eastAsia" w:ascii="宋体" w:hAnsi="宋体" w:cs="仿宋_GB2312"/>
          <w:sz w:val="24"/>
          <w:szCs w:val="24"/>
        </w:rPr>
        <w:t>各级的奖励名称、级别定义参照华南农业大学人事处同期专业技术职务评审办法</w:t>
      </w:r>
      <w:r>
        <w:rPr>
          <w:rFonts w:hint="eastAsia" w:ascii="宋体" w:hAnsi="宋体"/>
          <w:sz w:val="24"/>
          <w:szCs w:val="24"/>
        </w:rPr>
        <w:t>。</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2. 个人代表院、校参加校级以上专业学术科技竞赛、科创项目或创新创业项目获奖者，可以获得相应加分，具体加分细则如下：</w:t>
      </w:r>
    </w:p>
    <w:tbl>
      <w:tblPr>
        <w:tblStyle w:val="6"/>
        <w:tblW w:w="8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073"/>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376" w:type="dxa"/>
            <w:vAlign w:val="center"/>
          </w:tcPr>
          <w:p>
            <w:pPr>
              <w:adjustRightInd w:val="0"/>
              <w:snapToGrid w:val="0"/>
              <w:spacing w:line="360" w:lineRule="auto"/>
              <w:ind w:firstLine="482" w:firstLineChars="200"/>
              <w:jc w:val="center"/>
              <w:rPr>
                <w:rFonts w:ascii="宋体" w:hAnsi="宋体"/>
                <w:b/>
                <w:sz w:val="24"/>
                <w:szCs w:val="24"/>
              </w:rPr>
            </w:pPr>
            <w:r>
              <w:rPr>
                <w:rFonts w:hint="eastAsia" w:ascii="宋体" w:hAnsi="宋体" w:cs="仿宋_GB2312"/>
                <w:b/>
                <w:sz w:val="24"/>
                <w:szCs w:val="24"/>
              </w:rPr>
              <w:t>获奖级别</w:t>
            </w:r>
          </w:p>
        </w:tc>
        <w:tc>
          <w:tcPr>
            <w:tcW w:w="3073" w:type="dxa"/>
            <w:vAlign w:val="center"/>
          </w:tcPr>
          <w:p>
            <w:pPr>
              <w:adjustRightInd w:val="0"/>
              <w:snapToGrid w:val="0"/>
              <w:spacing w:line="360" w:lineRule="auto"/>
              <w:ind w:firstLine="482" w:firstLineChars="200"/>
              <w:jc w:val="center"/>
              <w:rPr>
                <w:rFonts w:ascii="宋体" w:hAnsi="宋体"/>
                <w:b/>
                <w:sz w:val="24"/>
                <w:szCs w:val="24"/>
              </w:rPr>
            </w:pPr>
            <w:r>
              <w:rPr>
                <w:rFonts w:hint="eastAsia" w:ascii="宋体" w:hAnsi="宋体" w:cs="仿宋_GB2312"/>
                <w:b/>
                <w:sz w:val="24"/>
                <w:szCs w:val="24"/>
              </w:rPr>
              <w:t>获奖等级</w:t>
            </w:r>
          </w:p>
        </w:tc>
        <w:tc>
          <w:tcPr>
            <w:tcW w:w="2785" w:type="dxa"/>
            <w:vAlign w:val="center"/>
          </w:tcPr>
          <w:p>
            <w:pPr>
              <w:adjustRightInd w:val="0"/>
              <w:snapToGrid w:val="0"/>
              <w:spacing w:line="360" w:lineRule="auto"/>
              <w:ind w:firstLine="482" w:firstLineChars="200"/>
              <w:jc w:val="center"/>
              <w:rPr>
                <w:rFonts w:ascii="宋体" w:hAnsi="宋体"/>
                <w:b/>
                <w:sz w:val="24"/>
                <w:szCs w:val="24"/>
              </w:rPr>
            </w:pPr>
            <w:r>
              <w:rPr>
                <w:rFonts w:hint="eastAsia" w:ascii="宋体" w:hAnsi="宋体" w:cs="仿宋_GB2312"/>
                <w:b/>
                <w:sz w:val="24"/>
                <w:szCs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2376" w:type="dxa"/>
            <w:vMerge w:val="restart"/>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国家级</w:t>
            </w: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一等奖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ascii="宋体" w:hAnsi="宋体" w:cs="仿宋_GB2312"/>
                <w:sz w:val="24"/>
                <w:szCs w:val="24"/>
              </w:rPr>
              <w:t>1</w:t>
            </w:r>
            <w:r>
              <w:rPr>
                <w:rFonts w:hint="eastAsia" w:ascii="宋体" w:hAnsi="宋体"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二等奖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三等奖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四等奖及以下</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2376" w:type="dxa"/>
            <w:vMerge w:val="restart"/>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省级</w:t>
            </w: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一等奖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二等奖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三等奖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四等奖及以下</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2376" w:type="dxa"/>
            <w:vMerge w:val="restart"/>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校（市）级</w:t>
            </w: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一等奖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二等奖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三等奖</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376" w:type="dxa"/>
            <w:vMerge w:val="continue"/>
            <w:vAlign w:val="center"/>
          </w:tcPr>
          <w:p>
            <w:pPr>
              <w:adjustRightInd w:val="0"/>
              <w:snapToGrid w:val="0"/>
              <w:spacing w:line="360" w:lineRule="auto"/>
              <w:ind w:firstLine="480" w:firstLineChars="200"/>
              <w:jc w:val="center"/>
              <w:rPr>
                <w:rFonts w:ascii="宋体" w:hAnsi="宋体"/>
                <w:sz w:val="24"/>
                <w:szCs w:val="24"/>
              </w:rPr>
            </w:pPr>
          </w:p>
        </w:tc>
        <w:tc>
          <w:tcPr>
            <w:tcW w:w="3073" w:type="dxa"/>
            <w:vAlign w:val="center"/>
          </w:tcPr>
          <w:p>
            <w:pPr>
              <w:adjustRightInd w:val="0"/>
              <w:snapToGrid w:val="0"/>
              <w:spacing w:line="360" w:lineRule="auto"/>
              <w:ind w:firstLine="480" w:firstLineChars="200"/>
              <w:jc w:val="center"/>
              <w:rPr>
                <w:rFonts w:ascii="宋体" w:hAnsi="宋体"/>
                <w:sz w:val="24"/>
                <w:szCs w:val="24"/>
              </w:rPr>
            </w:pPr>
            <w:r>
              <w:rPr>
                <w:rFonts w:hint="eastAsia" w:ascii="宋体" w:hAnsi="宋体" w:cs="仿宋_GB2312"/>
                <w:sz w:val="24"/>
                <w:szCs w:val="24"/>
              </w:rPr>
              <w:t>四等奖及以下</w:t>
            </w:r>
          </w:p>
        </w:tc>
        <w:tc>
          <w:tcPr>
            <w:tcW w:w="2785" w:type="dxa"/>
            <w:vAlign w:val="center"/>
          </w:tcPr>
          <w:p>
            <w:pPr>
              <w:adjustRightInd w:val="0"/>
              <w:snapToGrid w:val="0"/>
              <w:spacing w:line="360" w:lineRule="auto"/>
              <w:ind w:firstLine="480" w:firstLineChars="200"/>
              <w:jc w:val="center"/>
              <w:rPr>
                <w:rFonts w:ascii="宋体" w:hAnsi="宋体" w:cs="仿宋_GB2312"/>
                <w:sz w:val="24"/>
                <w:szCs w:val="24"/>
              </w:rPr>
            </w:pPr>
            <w:r>
              <w:rPr>
                <w:rFonts w:hint="eastAsia" w:ascii="宋体" w:hAnsi="宋体" w:cs="仿宋_GB2312"/>
                <w:sz w:val="24"/>
                <w:szCs w:val="24"/>
              </w:rPr>
              <w:t>2</w:t>
            </w:r>
          </w:p>
        </w:tc>
      </w:tr>
    </w:tbl>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以团队形式参赛者，按以上加分值折半加分。</w:t>
      </w:r>
    </w:p>
    <w:p>
      <w:pPr>
        <w:widowControl/>
        <w:adjustRightInd w:val="0"/>
        <w:snapToGrid w:val="0"/>
        <w:spacing w:line="360" w:lineRule="auto"/>
        <w:ind w:firstLine="480" w:firstLineChars="200"/>
        <w:rPr>
          <w:rFonts w:ascii="宋体" w:hAnsi="宋体"/>
          <w:sz w:val="24"/>
          <w:szCs w:val="24"/>
        </w:rPr>
      </w:pPr>
    </w:p>
    <w:p>
      <w:pPr>
        <w:adjustRightInd w:val="0"/>
        <w:snapToGrid w:val="0"/>
        <w:spacing w:before="100" w:beforeAutospacing="1" w:after="100" w:afterAutospacing="1"/>
        <w:jc w:val="center"/>
        <w:rPr>
          <w:rFonts w:ascii="宋体" w:hAnsi="宋体" w:cs="黑体"/>
          <w:b/>
          <w:bCs/>
          <w:sz w:val="28"/>
          <w:szCs w:val="28"/>
        </w:rPr>
      </w:pPr>
      <w:r>
        <w:rPr>
          <w:rFonts w:hint="eastAsia" w:ascii="宋体" w:hAnsi="宋体" w:cs="黑体"/>
          <w:b/>
          <w:bCs/>
          <w:sz w:val="28"/>
          <w:szCs w:val="28"/>
        </w:rPr>
        <w:t>第四部分  答辩程序和评分细则</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当</w:t>
      </w:r>
      <w:r>
        <w:rPr>
          <w:rFonts w:hint="eastAsia" w:ascii="宋体" w:hAnsi="宋体" w:cs="宋体"/>
          <w:kern w:val="0"/>
          <w:sz w:val="24"/>
          <w:szCs w:val="24"/>
        </w:rPr>
        <w:t>初评小组无法评出候选者，或</w:t>
      </w:r>
      <w:r>
        <w:rPr>
          <w:rFonts w:hint="eastAsia" w:ascii="宋体" w:hAnsi="宋体" w:cs="仿宋_GB2312"/>
          <w:sz w:val="24"/>
          <w:szCs w:val="24"/>
        </w:rPr>
        <w:t>初评结果在评审委员会审核不通过时，启动申请者答辩程序。</w:t>
      </w:r>
    </w:p>
    <w:p>
      <w:pPr>
        <w:widowControl/>
        <w:adjustRightInd w:val="0"/>
        <w:snapToGrid w:val="0"/>
        <w:spacing w:line="360" w:lineRule="auto"/>
        <w:ind w:firstLine="562" w:firstLineChars="200"/>
        <w:jc w:val="left"/>
        <w:rPr>
          <w:rFonts w:ascii="宋体" w:hAnsi="宋体" w:cs="仿宋_GB2312"/>
          <w:b/>
          <w:bCs/>
          <w:sz w:val="28"/>
          <w:szCs w:val="28"/>
        </w:rPr>
      </w:pPr>
      <w:r>
        <w:rPr>
          <w:rFonts w:hint="eastAsia" w:ascii="宋体" w:hAnsi="宋体" w:cs="仿宋_GB2312"/>
          <w:b/>
          <w:bCs/>
          <w:sz w:val="28"/>
          <w:szCs w:val="28"/>
        </w:rPr>
        <w:t>一、答辩程序</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1、学院国家奖学金评审委员会组织申请学生进行答辩，由评审委员根据答辩评分项目和标准，对每位申请者的答辩内容和表现进行无记名评分；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2、学院国家奖学金评审委员会必须全员参加答辩会，并完整进行评分；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3、申请者的答辩顺序以当场抽签形式决定；</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4、根据评审成绩，按总分数值高低顺序，确定学院研究生国家奖学金推荐名单；</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5、推荐名单与评审成绩应当场公布，并在学院范围内按规定进行名单公示后上报学校；</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6、答辩程序所用材料应保存完好，以备查验。</w:t>
      </w:r>
    </w:p>
    <w:p>
      <w:pPr>
        <w:widowControl/>
        <w:adjustRightInd w:val="0"/>
        <w:snapToGrid w:val="0"/>
        <w:spacing w:line="360" w:lineRule="auto"/>
        <w:ind w:firstLine="562" w:firstLineChars="200"/>
        <w:jc w:val="left"/>
        <w:rPr>
          <w:rFonts w:ascii="宋体" w:hAnsi="宋体" w:cs="仿宋_GB2312"/>
          <w:b/>
          <w:bCs/>
          <w:sz w:val="28"/>
          <w:szCs w:val="28"/>
        </w:rPr>
      </w:pPr>
      <w:r>
        <w:rPr>
          <w:rFonts w:hint="eastAsia" w:ascii="宋体" w:hAnsi="宋体" w:cs="仿宋_GB2312"/>
          <w:b/>
          <w:bCs/>
          <w:sz w:val="28"/>
          <w:szCs w:val="28"/>
        </w:rPr>
        <w:t>二、评分细则</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1、申请者个人评审成绩由材料成绩和答辩成绩两部分组成，材料成绩占60%，答辩成绩占40%。</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计算公式：</w:t>
      </w:r>
    </w:p>
    <w:p>
      <w:pPr>
        <w:adjustRightInd w:val="0"/>
        <w:snapToGrid w:val="0"/>
        <w:spacing w:before="100" w:beforeAutospacing="1" w:after="100" w:afterAutospacing="1" w:line="360" w:lineRule="auto"/>
        <w:ind w:firstLine="480" w:firstLineChars="200"/>
        <w:rPr>
          <w:rFonts w:ascii="宋体" w:hAnsi="宋体" w:cs="仿宋_GB2312"/>
          <w:i/>
          <w:sz w:val="24"/>
          <w:szCs w:val="24"/>
        </w:rPr>
      </w:pPr>
      <m:oMathPara>
        <m:oMath>
          <m:r>
            <w:rPr>
              <w:rFonts w:ascii="Cambria Math" w:hAnsi="Cambria Math" w:cs="仿宋_GB2312"/>
              <w:sz w:val="24"/>
              <w:szCs w:val="24"/>
            </w:rPr>
            <m:t>个人评审成绩</m:t>
          </m:r>
          <m:r>
            <w:rPr>
              <w:rFonts w:ascii="Cambria Math" w:hAnsi="宋体" w:cs="仿宋_GB2312"/>
              <w:sz w:val="24"/>
              <w:szCs w:val="24"/>
            </w:rPr>
            <m:t>=材料成绩</m:t>
          </m:r>
          <m:r>
            <w:rPr>
              <w:rFonts w:ascii="Cambria Math" w:hAnsi="Cambria Math" w:cs="仿宋_GB2312"/>
              <w:sz w:val="24"/>
              <w:szCs w:val="24"/>
            </w:rPr>
            <m:t>×</m:t>
          </m:r>
          <m:r>
            <w:rPr>
              <w:rFonts w:ascii="Cambria Math" w:hAnsi="宋体" w:cs="仿宋_GB2312"/>
              <w:sz w:val="24"/>
              <w:szCs w:val="24"/>
            </w:rPr>
            <m:t>60%</m:t>
          </m:r>
          <m:r>
            <w:rPr>
              <w:rFonts w:ascii="Cambria Math" w:hAnsi="Cambria Math" w:cs="仿宋_GB2312"/>
              <w:sz w:val="24"/>
              <w:szCs w:val="24"/>
            </w:rPr>
            <m:t>+答辩成绩×40%</m:t>
          </m:r>
        </m:oMath>
      </m:oMathPara>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2、答辩评分包括思想道德品质、学习成绩、科学研究、社会服务等综合评价指标，满分为100分。</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评分表见本办法附件1。</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3、答辩成绩应在所有评委打分中去掉一个最高分和一个最低分后，再进行计算。</w:t>
      </w:r>
    </w:p>
    <w:p>
      <w:pPr>
        <w:adjustRightInd w:val="0"/>
        <w:snapToGrid w:val="0"/>
        <w:spacing w:line="360" w:lineRule="auto"/>
        <w:ind w:firstLine="480" w:firstLineChars="200"/>
        <w:rPr>
          <w:rFonts w:ascii="宋体" w:hAnsi="宋体" w:cs="仿宋_GB2312"/>
          <w:sz w:val="24"/>
          <w:szCs w:val="24"/>
        </w:rPr>
      </w:pPr>
      <w:r>
        <w:rPr>
          <w:rFonts w:hint="eastAsia" w:ascii="宋体" w:hAnsi="宋体" w:cs="仿宋_GB2312"/>
          <w:sz w:val="24"/>
          <w:szCs w:val="24"/>
        </w:rPr>
        <w:t>计算公式：</w:t>
      </w:r>
    </w:p>
    <w:p>
      <w:pPr>
        <w:adjustRightInd w:val="0"/>
        <w:snapToGrid w:val="0"/>
        <w:spacing w:before="100" w:beforeAutospacing="1" w:after="100" w:afterAutospacing="1" w:line="360" w:lineRule="auto"/>
        <w:ind w:firstLine="480" w:firstLineChars="200"/>
        <w:jc w:val="center"/>
        <w:rPr>
          <w:i/>
          <w:sz w:val="24"/>
          <w:szCs w:val="24"/>
        </w:rPr>
      </w:pPr>
      <m:oMathPara>
        <m:oMath>
          <m:r>
            <w:rPr>
              <w:rFonts w:ascii="Cambria Math" w:hAnsi="Cambria Math"/>
              <w:sz w:val="24"/>
              <w:szCs w:val="24"/>
            </w:rPr>
            <m:t>答辩成绩</m:t>
          </m:r>
          <m:r>
            <w:rPr>
              <w:rFonts w:ascii="Cambria Math"/>
              <w:sz w:val="24"/>
              <w:szCs w:val="24"/>
            </w:rPr>
            <m:t>S=</m:t>
          </m:r>
          <m:f>
            <m:fPr>
              <m:type m:val="lin"/>
              <m:ctrlPr>
                <w:rPr>
                  <w:rFonts w:ascii="Cambria Math" w:hAnsi="Cambria Math"/>
                  <w:i/>
                  <w:sz w:val="24"/>
                  <w:szCs w:val="24"/>
                </w:rPr>
              </m:ctrlPr>
            </m:fPr>
            <m:num>
              <m:nary>
                <m:naryPr>
                  <m:chr m:val="∑"/>
                  <m:limLoc m:val="undOvr"/>
                  <m:ctrlPr>
                    <w:rPr>
                      <w:rFonts w:ascii="Cambria Math" w:hAnsi="Cambria Math"/>
                      <w:i/>
                      <w:sz w:val="24"/>
                      <w:szCs w:val="24"/>
                    </w:rPr>
                  </m:ctrlPr>
                </m:naryPr>
                <m:sub>
                  <m:ctrlPr>
                    <w:rPr>
                      <w:rFonts w:ascii="Cambria Math" w:hAnsi="Cambria Math"/>
                      <w:i/>
                      <w:sz w:val="24"/>
                      <w:szCs w:val="24"/>
                    </w:rPr>
                  </m:ctrlPr>
                </m:sub>
                <m:sup>
                  <m:r>
                    <w:rPr>
                      <w:rFonts w:ascii="Cambria Math"/>
                      <w:sz w:val="24"/>
                      <w:szCs w:val="24"/>
                    </w:rPr>
                    <m:t>N-2</m:t>
                  </m:r>
                  <m:ctrlPr>
                    <w:rPr>
                      <w:rFonts w:ascii="Cambria Math" w:hAnsi="Cambria Math"/>
                      <w:i/>
                      <w:sz w:val="24"/>
                      <w:szCs w:val="24"/>
                    </w:rPr>
                  </m:ctrlP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S</m:t>
                          </m:r>
                          <m:ctrlPr>
                            <w:rPr>
                              <w:rFonts w:ascii="Cambria Math" w:hAnsi="Cambria Math"/>
                              <w:i/>
                              <w:sz w:val="24"/>
                              <w:szCs w:val="24"/>
                            </w:rPr>
                          </m:ctrlPr>
                        </m:e>
                        <m:sub>
                          <m:r>
                            <w:rPr>
                              <w:rFonts w:ascii="Cambria Math"/>
                              <w:sz w:val="24"/>
                              <w:szCs w:val="24"/>
                            </w:rPr>
                            <m:t>i</m:t>
                          </m:r>
                          <m:ctrlPr>
                            <w:rPr>
                              <w:rFonts w:ascii="Cambria Math" w:hAnsi="Cambria Math"/>
                              <w:i/>
                              <w:sz w:val="24"/>
                              <w:szCs w:val="24"/>
                            </w:rPr>
                          </m:ctrlP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w:rPr>
                              <w:rFonts w:ascii="Cambria Math" w:hAnsi="Cambria Math"/>
                              <w:sz w:val="24"/>
                              <w:szCs w:val="24"/>
                            </w:rPr>
                            <m:t>max</m:t>
                          </m:r>
                          <m:ctrlPr>
                            <w:rPr>
                              <w:rFonts w:ascii="Cambria Math" w:hAnsi="Cambria Math"/>
                              <w:i/>
                              <w:sz w:val="24"/>
                              <w:szCs w:val="24"/>
                            </w:rPr>
                          </m:ctrlP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ctrlPr>
                            <w:rPr>
                              <w:rFonts w:ascii="Cambria Math" w:hAnsi="Cambria Math"/>
                              <w:i/>
                              <w:sz w:val="24"/>
                              <w:szCs w:val="24"/>
                            </w:rPr>
                          </m:ctrlPr>
                        </m:e>
                        <m:sub>
                          <m:r>
                            <w:rPr>
                              <w:rFonts w:ascii="Cambria Math" w:hAnsi="Cambria Math"/>
                              <w:sz w:val="24"/>
                              <w:szCs w:val="24"/>
                            </w:rPr>
                            <m:t>min</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e>
              </m:nary>
              <m:ctrlPr>
                <w:rPr>
                  <w:rFonts w:ascii="Cambria Math" w:hAnsi="Cambria Math"/>
                  <w:i/>
                  <w:sz w:val="24"/>
                  <w:szCs w:val="24"/>
                </w:rPr>
              </m:ctrlPr>
            </m:num>
            <m:den>
              <m:d>
                <m:dPr>
                  <m:ctrlPr>
                    <w:rPr>
                      <w:rFonts w:ascii="Cambria Math" w:hAnsi="Cambria Math"/>
                      <w:i/>
                      <w:sz w:val="24"/>
                      <w:szCs w:val="24"/>
                    </w:rPr>
                  </m:ctrlPr>
                </m:dPr>
                <m:e>
                  <m:r>
                    <w:rPr>
                      <w:rFonts w:ascii="Cambria Math" w:hAnsi="Cambria Math"/>
                      <w:sz w:val="24"/>
                      <w:szCs w:val="24"/>
                    </w:rPr>
                    <m:t>N-2</m:t>
                  </m:r>
                  <m:ctrlPr>
                    <w:rPr>
                      <w:rFonts w:ascii="Cambria Math" w:hAnsi="Cambria Math"/>
                      <w:i/>
                      <w:sz w:val="24"/>
                      <w:szCs w:val="24"/>
                    </w:rPr>
                  </m:ctrlPr>
                </m:e>
              </m:d>
              <m:ctrlPr>
                <w:rPr>
                  <w:rFonts w:ascii="Cambria Math" w:hAnsi="Cambria Math"/>
                  <w:i/>
                  <w:sz w:val="24"/>
                  <w:szCs w:val="24"/>
                </w:rPr>
              </m:ctrlPr>
            </m:den>
          </m:f>
        </m:oMath>
      </m:oMathPara>
    </w:p>
    <w:p>
      <w:pPr>
        <w:adjustRightInd w:val="0"/>
        <w:snapToGrid w:val="0"/>
        <w:spacing w:line="360" w:lineRule="auto"/>
        <w:ind w:firstLine="480" w:firstLineChars="200"/>
        <w:rPr>
          <w:rFonts w:hAnsi="宋体"/>
          <w:sz w:val="24"/>
          <w:szCs w:val="24"/>
        </w:rPr>
      </w:pPr>
      <w:r>
        <w:rPr>
          <w:rFonts w:hAnsi="宋体"/>
          <w:sz w:val="24"/>
          <w:szCs w:val="24"/>
        </w:rPr>
        <w:t>式中</w:t>
      </w:r>
      <m:oMath>
        <m:sSub>
          <m:sSubPr>
            <m:ctrlPr>
              <w:rPr>
                <w:rFonts w:ascii="Cambria Math" w:hAnsi="Cambria Math"/>
                <w:sz w:val="24"/>
                <w:szCs w:val="24"/>
              </w:rPr>
            </m:ctrlPr>
          </m:sSubPr>
          <m:e>
            <m:r>
              <m:rPr>
                <m:sty m:val="p"/>
              </m:rPr>
              <w:rPr>
                <w:rFonts w:ascii="Cambria Math"/>
                <w:sz w:val="24"/>
                <w:szCs w:val="24"/>
              </w:rPr>
              <m:t>S</m:t>
            </m:r>
            <m:ctrlPr>
              <w:rPr>
                <w:rFonts w:ascii="Cambria Math" w:hAnsi="Cambria Math"/>
                <w:sz w:val="24"/>
                <w:szCs w:val="24"/>
              </w:rPr>
            </m:ctrlPr>
          </m:e>
          <m:sub>
            <m:r>
              <m:rPr>
                <m:sty m:val="p"/>
              </m:rPr>
              <w:rPr>
                <w:rFonts w:ascii="Cambria Math"/>
                <w:sz w:val="24"/>
                <w:szCs w:val="24"/>
              </w:rPr>
              <m:t>i</m:t>
            </m:r>
            <m:ctrlPr>
              <w:rPr>
                <w:rFonts w:ascii="Cambria Math" w:hAnsi="Cambria Math"/>
                <w:sz w:val="24"/>
                <w:szCs w:val="24"/>
              </w:rPr>
            </m:ctrlPr>
          </m:sub>
        </m:sSub>
      </m:oMath>
      <w:r>
        <w:rPr>
          <w:rFonts w:hAnsi="宋体"/>
          <w:sz w:val="24"/>
          <w:szCs w:val="24"/>
        </w:rPr>
        <w:t>、</w:t>
      </w:r>
      <m:oMath>
        <m:r>
          <m:rPr>
            <m:sty m:val="p"/>
          </m:rPr>
          <w:rPr>
            <w:rFonts w:ascii="Cambria Math"/>
            <w:sz w:val="24"/>
            <w:szCs w:val="24"/>
          </w:rPr>
          <m:t>N</m:t>
        </m:r>
      </m:oMath>
      <w:r>
        <w:rPr>
          <w:sz w:val="24"/>
          <w:szCs w:val="24"/>
        </w:rPr>
        <w:t xml:space="preserve"> </w:t>
      </w:r>
      <w:r>
        <w:rPr>
          <w:rFonts w:hAnsi="宋体"/>
          <w:sz w:val="24"/>
          <w:szCs w:val="24"/>
        </w:rPr>
        <w:t>分别为</w:t>
      </w:r>
      <w:r>
        <w:rPr>
          <w:rFonts w:hint="eastAsia" w:hAnsi="宋体"/>
          <w:sz w:val="24"/>
          <w:szCs w:val="24"/>
        </w:rPr>
        <w:t>每个评委打分</w:t>
      </w:r>
      <w:r>
        <w:rPr>
          <w:rFonts w:hAnsi="宋体"/>
          <w:sz w:val="24"/>
          <w:szCs w:val="24"/>
        </w:rPr>
        <w:t>和</w:t>
      </w:r>
      <w:r>
        <w:rPr>
          <w:rFonts w:hint="eastAsia" w:hAnsi="宋体"/>
          <w:sz w:val="24"/>
          <w:szCs w:val="24"/>
        </w:rPr>
        <w:t>评委总人</w:t>
      </w:r>
      <w:r>
        <w:rPr>
          <w:rFonts w:hAnsi="宋体"/>
          <w:sz w:val="24"/>
          <w:szCs w:val="24"/>
        </w:rPr>
        <w:t>数（</w:t>
      </w:r>
      <w:r>
        <w:rPr>
          <w:sz w:val="24"/>
          <w:szCs w:val="24"/>
        </w:rPr>
        <w:t>i=1,</w:t>
      </w:r>
      <w:r>
        <w:rPr>
          <w:rFonts w:hint="eastAsia"/>
          <w:sz w:val="24"/>
          <w:szCs w:val="24"/>
        </w:rPr>
        <w:t xml:space="preserve"> </w:t>
      </w:r>
      <w:r>
        <w:rPr>
          <w:sz w:val="24"/>
          <w:szCs w:val="24"/>
        </w:rPr>
        <w:t>2,</w:t>
      </w:r>
      <w:r>
        <w:rPr>
          <w:rFonts w:hint="eastAsia"/>
          <w:sz w:val="24"/>
          <w:szCs w:val="24"/>
        </w:rPr>
        <w:t xml:space="preserve"> </w:t>
      </w:r>
      <w:r>
        <w:rPr>
          <w:sz w:val="24"/>
          <w:szCs w:val="24"/>
        </w:rPr>
        <w:t>3……</w:t>
      </w:r>
      <w:r>
        <w:rPr>
          <w:rFonts w:hint="eastAsia"/>
          <w:sz w:val="24"/>
          <w:szCs w:val="24"/>
        </w:rPr>
        <w:t xml:space="preserve">, </w:t>
      </w:r>
      <w:r>
        <w:rPr>
          <w:sz w:val="24"/>
          <w:szCs w:val="24"/>
        </w:rPr>
        <w:t>N</w:t>
      </w:r>
      <w:r>
        <w:rPr>
          <w:rFonts w:hAnsi="宋体"/>
          <w:sz w:val="24"/>
          <w:szCs w:val="24"/>
        </w:rPr>
        <w:t>）。</w:t>
      </w:r>
    </w:p>
    <w:p>
      <w:pPr>
        <w:widowControl/>
        <w:adjustRightInd w:val="0"/>
        <w:snapToGrid w:val="0"/>
        <w:spacing w:line="360" w:lineRule="auto"/>
        <w:ind w:firstLine="480" w:firstLineChars="200"/>
        <w:rPr>
          <w:rFonts w:ascii="宋体" w:hAnsi="宋体"/>
          <w:sz w:val="24"/>
          <w:szCs w:val="24"/>
        </w:rPr>
      </w:pPr>
    </w:p>
    <w:p>
      <w:pPr>
        <w:adjustRightInd w:val="0"/>
        <w:snapToGrid w:val="0"/>
        <w:spacing w:before="100" w:beforeAutospacing="1" w:after="100" w:afterAutospacing="1"/>
        <w:jc w:val="center"/>
        <w:rPr>
          <w:rFonts w:ascii="宋体" w:hAnsi="宋体" w:cs="黑体"/>
          <w:b/>
          <w:bCs/>
          <w:sz w:val="28"/>
          <w:szCs w:val="28"/>
        </w:rPr>
      </w:pPr>
      <w:r>
        <w:rPr>
          <w:rFonts w:hint="eastAsia" w:ascii="宋体" w:hAnsi="宋体" w:cs="黑体"/>
          <w:b/>
          <w:bCs/>
          <w:sz w:val="28"/>
          <w:szCs w:val="28"/>
        </w:rPr>
        <w:t>第五部分  附则</w:t>
      </w:r>
    </w:p>
    <w:p>
      <w:pPr>
        <w:adjustRightInd w:val="0"/>
        <w:snapToGrid w:val="0"/>
        <w:spacing w:line="360" w:lineRule="auto"/>
        <w:ind w:firstLine="480" w:firstLineChars="200"/>
        <w:rPr>
          <w:rFonts w:ascii="宋体" w:hAnsi="宋体"/>
          <w:b/>
          <w:bCs/>
          <w:sz w:val="24"/>
          <w:szCs w:val="24"/>
        </w:rPr>
      </w:pPr>
      <w:r>
        <w:rPr>
          <w:rFonts w:ascii="宋体" w:hAnsi="宋体" w:cs="仿宋_GB2312"/>
          <w:sz w:val="24"/>
          <w:szCs w:val="24"/>
        </w:rPr>
        <w:t>1.</w:t>
      </w:r>
      <w:r>
        <w:rPr>
          <w:rFonts w:hint="eastAsia" w:ascii="宋体" w:hAnsi="宋体" w:cs="仿宋_GB2312"/>
          <w:sz w:val="24"/>
          <w:szCs w:val="24"/>
        </w:rPr>
        <w:t>获得国家奖学金的研究生，可以同时获得研究生学业奖学金等其他国家奖助政策以及校内其他研究生奖助政策资助。</w:t>
      </w:r>
    </w:p>
    <w:p>
      <w:pPr>
        <w:adjustRightInd w:val="0"/>
        <w:snapToGrid w:val="0"/>
        <w:spacing w:line="360" w:lineRule="auto"/>
        <w:ind w:firstLine="480" w:firstLineChars="200"/>
        <w:rPr>
          <w:rFonts w:ascii="宋体" w:hAnsi="宋体"/>
          <w:sz w:val="24"/>
          <w:szCs w:val="24"/>
        </w:rPr>
      </w:pPr>
      <w:r>
        <w:rPr>
          <w:rFonts w:ascii="宋体" w:hAnsi="宋体" w:cs="仿宋_GB2312"/>
          <w:sz w:val="24"/>
          <w:szCs w:val="24"/>
        </w:rPr>
        <w:t>2.</w:t>
      </w:r>
      <w:r>
        <w:rPr>
          <w:rFonts w:hint="eastAsia" w:ascii="宋体" w:hAnsi="宋体" w:cs="仿宋_GB2312"/>
          <w:sz w:val="24"/>
          <w:szCs w:val="24"/>
        </w:rPr>
        <w:t>本办法由水利与土木工程</w:t>
      </w:r>
      <w:r>
        <w:rPr>
          <w:rFonts w:hint="eastAsia" w:ascii="宋体" w:hAnsi="宋体" w:cs="宋体"/>
          <w:kern w:val="0"/>
          <w:sz w:val="24"/>
          <w:szCs w:val="24"/>
        </w:rPr>
        <w:t>学院研究生国家奖学金评审委员会</w:t>
      </w:r>
      <w:r>
        <w:rPr>
          <w:rFonts w:hint="eastAsia" w:ascii="宋体" w:hAnsi="宋体" w:cs="仿宋_GB2312"/>
          <w:sz w:val="24"/>
          <w:szCs w:val="24"/>
        </w:rPr>
        <w:t>负责解释。如出现分数相同、依相应细则无法决定排名时，由评审委员会审议后投票决定排名。</w:t>
      </w:r>
    </w:p>
    <w:p>
      <w:pPr>
        <w:adjustRightInd w:val="0"/>
        <w:snapToGrid w:val="0"/>
        <w:spacing w:line="360" w:lineRule="auto"/>
        <w:ind w:firstLine="480" w:firstLineChars="200"/>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本办法从公布之日起执行，适用于</w:t>
      </w:r>
      <w:r>
        <w:rPr>
          <w:rFonts w:ascii="宋体" w:hAnsi="宋体" w:cs="仿宋_GB2312"/>
          <w:sz w:val="24"/>
          <w:szCs w:val="24"/>
        </w:rPr>
        <w:t>201</w:t>
      </w:r>
      <w:r>
        <w:rPr>
          <w:rFonts w:hint="eastAsia" w:ascii="宋体" w:hAnsi="宋体" w:cs="仿宋_GB2312"/>
          <w:sz w:val="24"/>
          <w:szCs w:val="24"/>
        </w:rPr>
        <w:t>8年</w:t>
      </w:r>
      <w:r>
        <w:rPr>
          <w:rFonts w:ascii="宋体" w:hAnsi="宋体" w:cs="仿宋_GB2312"/>
          <w:sz w:val="24"/>
          <w:szCs w:val="24"/>
        </w:rPr>
        <w:t>9</w:t>
      </w:r>
      <w:r>
        <w:rPr>
          <w:rFonts w:hint="eastAsia" w:ascii="宋体" w:hAnsi="宋体" w:cs="仿宋_GB2312"/>
          <w:sz w:val="24"/>
          <w:szCs w:val="24"/>
        </w:rPr>
        <w:t>月</w:t>
      </w:r>
      <w:r>
        <w:rPr>
          <w:rFonts w:ascii="宋体" w:hAnsi="宋体" w:cs="仿宋_GB2312"/>
          <w:sz w:val="24"/>
          <w:szCs w:val="24"/>
        </w:rPr>
        <w:t>1</w:t>
      </w:r>
      <w:r>
        <w:rPr>
          <w:rFonts w:hint="eastAsia" w:ascii="宋体" w:hAnsi="宋体" w:cs="仿宋_GB2312"/>
          <w:sz w:val="24"/>
          <w:szCs w:val="24"/>
        </w:rPr>
        <w:t>日后入学的研究生。</w:t>
      </w:r>
    </w:p>
    <w:p>
      <w:pPr>
        <w:adjustRightInd w:val="0"/>
        <w:snapToGrid w:val="0"/>
        <w:spacing w:line="360" w:lineRule="auto"/>
        <w:rPr>
          <w:rFonts w:ascii="宋体" w:hAnsi="宋体" w:cs="仿宋_GB2312"/>
          <w:sz w:val="24"/>
          <w:szCs w:val="24"/>
        </w:rPr>
      </w:pPr>
    </w:p>
    <w:p>
      <w:pPr>
        <w:adjustRightInd w:val="0"/>
        <w:snapToGrid w:val="0"/>
        <w:spacing w:line="360" w:lineRule="auto"/>
        <w:jc w:val="right"/>
        <w:rPr>
          <w:rFonts w:ascii="宋体" w:hAnsi="宋体" w:cs="仿宋_GB2312"/>
          <w:sz w:val="24"/>
          <w:szCs w:val="24"/>
        </w:rPr>
      </w:pPr>
      <w:r>
        <w:rPr>
          <w:rFonts w:hint="eastAsia" w:ascii="宋体" w:hAnsi="宋体" w:cs="仿宋_GB2312"/>
          <w:sz w:val="24"/>
          <w:szCs w:val="24"/>
        </w:rPr>
        <w:t>水利与土木工程学院</w:t>
      </w:r>
    </w:p>
    <w:p>
      <w:pPr>
        <w:adjustRightInd w:val="0"/>
        <w:snapToGrid w:val="0"/>
        <w:spacing w:line="360" w:lineRule="auto"/>
        <w:jc w:val="right"/>
        <w:rPr>
          <w:rFonts w:ascii="宋体" w:hAnsi="宋体" w:cs="仿宋_GB2312"/>
          <w:sz w:val="24"/>
          <w:szCs w:val="24"/>
        </w:rPr>
      </w:pPr>
      <w:r>
        <w:rPr>
          <w:rFonts w:hint="eastAsia" w:ascii="宋体" w:hAnsi="宋体" w:cs="仿宋_GB2312"/>
          <w:sz w:val="24"/>
          <w:szCs w:val="24"/>
        </w:rPr>
        <w:t>2018年9月</w:t>
      </w:r>
    </w:p>
    <w:p>
      <w:pPr>
        <w:widowControl/>
        <w:jc w:val="left"/>
        <w:rPr>
          <w:rFonts w:ascii="宋体" w:hAnsi="宋体" w:cs="仿宋_GB2312"/>
          <w:sz w:val="24"/>
          <w:szCs w:val="24"/>
        </w:rPr>
      </w:pPr>
      <w:r>
        <w:rPr>
          <w:rFonts w:ascii="宋体" w:hAnsi="宋体" w:cs="仿宋_GB2312"/>
          <w:sz w:val="24"/>
          <w:szCs w:val="24"/>
        </w:rPr>
        <w:br w:type="page"/>
      </w:r>
      <w:r>
        <w:rPr>
          <w:rFonts w:hint="eastAsia" w:ascii="宋体" w:hAnsi="宋体"/>
          <w:sz w:val="24"/>
          <w:szCs w:val="24"/>
        </w:rPr>
        <w:t>附件1：</w:t>
      </w:r>
    </w:p>
    <w:p>
      <w:pPr>
        <w:adjustRightInd w:val="0"/>
        <w:snapToGrid w:val="0"/>
        <w:spacing w:line="360" w:lineRule="auto"/>
        <w:ind w:right="360"/>
        <w:jc w:val="center"/>
        <w:rPr>
          <w:rStyle w:val="14"/>
          <w:rFonts w:asciiTheme="minorEastAsia" w:hAnsiTheme="minorEastAsia" w:eastAsiaTheme="minorEastAsia"/>
          <w:b/>
          <w:bCs/>
          <w:spacing w:val="0"/>
          <w:kern w:val="0"/>
          <w:sz w:val="32"/>
        </w:rPr>
      </w:pPr>
      <w:r>
        <w:rPr>
          <w:rStyle w:val="14"/>
          <w:rFonts w:hint="eastAsia" w:asciiTheme="minorEastAsia" w:hAnsiTheme="minorEastAsia" w:eastAsiaTheme="minorEastAsia"/>
          <w:b/>
          <w:bCs/>
          <w:spacing w:val="0"/>
          <w:kern w:val="0"/>
          <w:sz w:val="32"/>
        </w:rPr>
        <w:t>水利与土木工程学院研究生国家奖学金答辩评分表</w:t>
      </w:r>
    </w:p>
    <w:p>
      <w:pPr>
        <w:pStyle w:val="5"/>
        <w:spacing w:before="0" w:beforeAutospacing="0" w:after="0" w:afterAutospacing="0" w:line="360" w:lineRule="auto"/>
        <w:jc w:val="center"/>
      </w:pPr>
      <w:r>
        <w:rPr>
          <w:rStyle w:val="14"/>
          <w:rFonts w:hint="eastAsia" w:asciiTheme="minorEastAsia" w:hAnsiTheme="minorEastAsia" w:eastAsiaTheme="minorEastAsia"/>
          <w:b/>
          <w:spacing w:val="0"/>
        </w:rPr>
        <w:t>答辩者姓名：</w:t>
      </w:r>
      <w:r>
        <w:rPr>
          <w:rStyle w:val="14"/>
          <w:rFonts w:hint="eastAsia" w:asciiTheme="minorEastAsia" w:hAnsiTheme="minorEastAsia" w:eastAsiaTheme="minorEastAsia"/>
          <w:b/>
          <w:spacing w:val="0"/>
          <w:u w:val="single"/>
        </w:rPr>
        <w:t xml:space="preserve">             </w:t>
      </w:r>
      <w:r>
        <w:rPr>
          <w:rStyle w:val="14"/>
          <w:rFonts w:hint="eastAsia" w:asciiTheme="minorEastAsia" w:hAnsiTheme="minorEastAsia" w:eastAsiaTheme="minorEastAsia"/>
          <w:b/>
          <w:spacing w:val="0"/>
        </w:rPr>
        <w:t xml:space="preserve">            答辩时间：    年    月    日</w:t>
      </w:r>
    </w:p>
    <w:p>
      <w:pPr>
        <w:pStyle w:val="5"/>
        <w:spacing w:before="0" w:beforeAutospacing="0" w:after="0" w:afterAutospacing="0" w:line="360" w:lineRule="auto"/>
        <w:rPr>
          <w:rStyle w:val="14"/>
          <w:rFonts w:asciiTheme="minorEastAsia" w:hAnsiTheme="minorEastAsia" w:eastAsiaTheme="minorEastAsia"/>
          <w:b/>
          <w:u w:val="single"/>
        </w:rPr>
      </w:pPr>
    </w:p>
    <w:tbl>
      <w:tblPr>
        <w:tblStyle w:val="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3"/>
        <w:gridCol w:w="1747"/>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23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rPr>
                <w:b/>
              </w:rPr>
            </w:pPr>
            <w:r>
              <w:rPr>
                <w:rFonts w:hint="eastAsia"/>
                <w:b/>
              </w:rPr>
              <w:t>测评内容</w:t>
            </w:r>
          </w:p>
        </w:tc>
        <w:tc>
          <w:tcPr>
            <w:tcW w:w="174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rPr>
                <w:b/>
              </w:rPr>
            </w:pPr>
            <w:r>
              <w:rPr>
                <w:rFonts w:hint="eastAsia"/>
                <w:b/>
              </w:rPr>
              <w:t>满分</w:t>
            </w:r>
          </w:p>
        </w:tc>
        <w:tc>
          <w:tcPr>
            <w:tcW w:w="17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rPr>
                <w:b/>
              </w:rPr>
            </w:pPr>
            <w:r>
              <w:rPr>
                <w:rFonts w:hint="eastAsia"/>
                <w:b/>
              </w:rPr>
              <w:t>测评得分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233"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line="360" w:lineRule="auto"/>
              <w:ind w:firstLine="240" w:firstLineChars="100"/>
              <w:rPr>
                <w:rFonts w:asciiTheme="minorEastAsia" w:hAnsiTheme="minorEastAsia" w:eastAsiaTheme="minorEastAsia"/>
              </w:rPr>
            </w:pPr>
            <w:r>
              <w:rPr>
                <w:rFonts w:hint="eastAsia" w:asciiTheme="minorEastAsia" w:hAnsiTheme="minorEastAsia" w:eastAsiaTheme="minorEastAsia"/>
              </w:rPr>
              <w:t>1.</w:t>
            </w:r>
            <w:r>
              <w:rPr>
                <w:rFonts w:hint="eastAsia"/>
              </w:rPr>
              <w:t xml:space="preserve"> </w:t>
            </w:r>
            <w:r>
              <w:rPr>
                <w:rFonts w:hint="eastAsia" w:asciiTheme="minorEastAsia" w:hAnsiTheme="minorEastAsia" w:eastAsiaTheme="minorEastAsia"/>
              </w:rPr>
              <w:t>思想道德品质</w:t>
            </w:r>
          </w:p>
          <w:p>
            <w:pPr>
              <w:pStyle w:val="5"/>
              <w:adjustRightInd w:val="0"/>
              <w:snapToGrid w:val="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学生能努力践行社会主义核心价值观，恪守学术道德，团结协作，以身作则，热心为同学服务，积极参加社会实践和志愿服务活动。</w:t>
            </w:r>
          </w:p>
        </w:tc>
        <w:tc>
          <w:tcPr>
            <w:tcW w:w="174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pPr>
            <w:r>
              <w:rPr>
                <w:rFonts w:hint="eastAsia"/>
              </w:rPr>
              <w:t>20</w:t>
            </w:r>
          </w:p>
        </w:tc>
        <w:tc>
          <w:tcPr>
            <w:tcW w:w="17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233"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line="360" w:lineRule="auto"/>
              <w:ind w:firstLine="240" w:firstLineChars="100"/>
              <w:rPr>
                <w:rFonts w:asciiTheme="minorEastAsia" w:hAnsiTheme="minorEastAsia" w:eastAsiaTheme="minorEastAsia"/>
              </w:rPr>
            </w:pPr>
            <w:r>
              <w:rPr>
                <w:rFonts w:hint="eastAsia" w:asciiTheme="minorEastAsia" w:hAnsiTheme="minorEastAsia" w:eastAsiaTheme="minorEastAsia"/>
              </w:rPr>
              <w:t>2.</w:t>
            </w:r>
            <w:r>
              <w:rPr>
                <w:rFonts w:hint="eastAsia"/>
              </w:rPr>
              <w:t xml:space="preserve"> </w:t>
            </w:r>
            <w:r>
              <w:rPr>
                <w:rFonts w:hint="eastAsia" w:asciiTheme="minorEastAsia" w:hAnsiTheme="minorEastAsia" w:eastAsiaTheme="minorEastAsia"/>
              </w:rPr>
              <w:t>学习成绩</w:t>
            </w:r>
          </w:p>
          <w:p>
            <w:pPr>
              <w:pStyle w:val="5"/>
              <w:adjustRightInd w:val="0"/>
              <w:snapToGrid w:val="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学习态度端正，目标明确，课堂表现优秀，学习成绩优异。</w:t>
            </w:r>
          </w:p>
        </w:tc>
        <w:tc>
          <w:tcPr>
            <w:tcW w:w="174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pPr>
            <w:r>
              <w:rPr>
                <w:rFonts w:hint="eastAsia"/>
              </w:rPr>
              <w:t>20</w:t>
            </w:r>
          </w:p>
        </w:tc>
        <w:tc>
          <w:tcPr>
            <w:tcW w:w="17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233"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line="360" w:lineRule="auto"/>
              <w:ind w:firstLine="240" w:firstLineChars="100"/>
              <w:rPr>
                <w:rFonts w:asciiTheme="minorEastAsia" w:hAnsiTheme="minorEastAsia" w:eastAsiaTheme="minorEastAsia"/>
              </w:rPr>
            </w:pPr>
            <w:r>
              <w:rPr>
                <w:rFonts w:hint="eastAsia" w:asciiTheme="minorEastAsia" w:hAnsiTheme="minorEastAsia" w:eastAsiaTheme="minorEastAsia"/>
              </w:rPr>
              <w:t>3.</w:t>
            </w:r>
            <w:r>
              <w:rPr>
                <w:rFonts w:hint="eastAsia"/>
              </w:rPr>
              <w:t xml:space="preserve"> </w:t>
            </w:r>
            <w:r>
              <w:rPr>
                <w:rFonts w:hint="eastAsia" w:asciiTheme="minorEastAsia" w:hAnsiTheme="minorEastAsia" w:eastAsiaTheme="minorEastAsia"/>
              </w:rPr>
              <w:t>科学研究</w:t>
            </w:r>
          </w:p>
          <w:p>
            <w:pPr>
              <w:pStyle w:val="5"/>
              <w:adjustRightInd w:val="0"/>
              <w:snapToGrid w:val="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学生能在导师指导下积极开展科学研究，认真撰写论文，发表与相关专业学术论文，积极参与相关专业的科研课题研究与学术会议，具有创新思维和钻研精神。</w:t>
            </w:r>
          </w:p>
        </w:tc>
        <w:tc>
          <w:tcPr>
            <w:tcW w:w="174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pPr>
            <w:r>
              <w:rPr>
                <w:rFonts w:hint="eastAsia"/>
              </w:rPr>
              <w:t>50</w:t>
            </w:r>
          </w:p>
        </w:tc>
        <w:tc>
          <w:tcPr>
            <w:tcW w:w="17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233"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before="0" w:beforeAutospacing="0" w:after="0" w:afterAutospacing="0" w:line="360" w:lineRule="auto"/>
              <w:ind w:firstLine="240" w:firstLineChars="100"/>
              <w:rPr>
                <w:rFonts w:asciiTheme="minorEastAsia" w:hAnsiTheme="minorEastAsia" w:eastAsiaTheme="minorEastAsia"/>
              </w:rPr>
            </w:pPr>
            <w:r>
              <w:rPr>
                <w:rFonts w:hint="eastAsia" w:asciiTheme="minorEastAsia" w:hAnsiTheme="minorEastAsia" w:eastAsiaTheme="minorEastAsia"/>
              </w:rPr>
              <w:t>4.</w:t>
            </w:r>
            <w:r>
              <w:rPr>
                <w:rFonts w:hint="eastAsia"/>
              </w:rPr>
              <w:t xml:space="preserve"> </w:t>
            </w:r>
            <w:r>
              <w:rPr>
                <w:rFonts w:hint="eastAsia" w:asciiTheme="minorEastAsia" w:hAnsiTheme="minorEastAsia" w:eastAsiaTheme="minorEastAsia"/>
              </w:rPr>
              <w:t>社会服务</w:t>
            </w:r>
          </w:p>
          <w:p>
            <w:pPr>
              <w:pStyle w:val="5"/>
              <w:adjustRightInd w:val="0"/>
              <w:snapToGrid w:val="0"/>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利用专业知识及技能积极参与或组织各类社会调研、服务，参加“三下乡”及支教支农等活动，在服务社会方面做出突出贡献。</w:t>
            </w:r>
          </w:p>
        </w:tc>
        <w:tc>
          <w:tcPr>
            <w:tcW w:w="174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pPr>
            <w:r>
              <w:rPr>
                <w:rFonts w:hint="eastAsia"/>
              </w:rPr>
              <w:t>10</w:t>
            </w:r>
          </w:p>
        </w:tc>
        <w:tc>
          <w:tcPr>
            <w:tcW w:w="17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233"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rPr>
                <w:b/>
              </w:rPr>
            </w:pPr>
            <w:r>
              <w:rPr>
                <w:rFonts w:hint="eastAsia"/>
                <w:b/>
              </w:rPr>
              <w:t>合计</w:t>
            </w:r>
          </w:p>
        </w:tc>
        <w:tc>
          <w:tcPr>
            <w:tcW w:w="174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rPr>
                <w:b/>
              </w:rPr>
            </w:pPr>
            <w:r>
              <w:rPr>
                <w:rFonts w:hint="eastAsia"/>
                <w:b/>
              </w:rPr>
              <w:t>100</w:t>
            </w:r>
          </w:p>
        </w:tc>
        <w:tc>
          <w:tcPr>
            <w:tcW w:w="1784"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beforeAutospacing="0" w:after="0" w:afterAutospacing="0"/>
              <w:jc w:val="center"/>
              <w:rPr>
                <w:b/>
              </w:rPr>
            </w:pPr>
          </w:p>
        </w:tc>
      </w:tr>
    </w:tbl>
    <w:p>
      <w:pPr>
        <w:adjustRightInd w:val="0"/>
        <w:snapToGrid w:val="0"/>
        <w:spacing w:line="360" w:lineRule="auto"/>
        <w:ind w:right="360"/>
        <w:jc w:val="left"/>
        <w:rPr>
          <w:rFonts w:ascii="宋体" w:hAnsi="宋体"/>
          <w:sz w:val="24"/>
          <w:szCs w:val="24"/>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14</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70"/>
    <w:rsid w:val="0000298D"/>
    <w:rsid w:val="00023BC2"/>
    <w:rsid w:val="00031E6B"/>
    <w:rsid w:val="000517D0"/>
    <w:rsid w:val="000646AA"/>
    <w:rsid w:val="000913DD"/>
    <w:rsid w:val="0009388B"/>
    <w:rsid w:val="00093C91"/>
    <w:rsid w:val="000A5471"/>
    <w:rsid w:val="000B0C83"/>
    <w:rsid w:val="000B18C5"/>
    <w:rsid w:val="000C14DD"/>
    <w:rsid w:val="000D1310"/>
    <w:rsid w:val="000F612F"/>
    <w:rsid w:val="00124072"/>
    <w:rsid w:val="00134281"/>
    <w:rsid w:val="00136BAB"/>
    <w:rsid w:val="001501A3"/>
    <w:rsid w:val="0016460F"/>
    <w:rsid w:val="0018044C"/>
    <w:rsid w:val="00185053"/>
    <w:rsid w:val="001855D9"/>
    <w:rsid w:val="00196AA2"/>
    <w:rsid w:val="001A4378"/>
    <w:rsid w:val="001C4EFA"/>
    <w:rsid w:val="001E307D"/>
    <w:rsid w:val="001E5AF1"/>
    <w:rsid w:val="00204F1D"/>
    <w:rsid w:val="002052B4"/>
    <w:rsid w:val="00216607"/>
    <w:rsid w:val="00232E92"/>
    <w:rsid w:val="0024681B"/>
    <w:rsid w:val="002479FC"/>
    <w:rsid w:val="0025392A"/>
    <w:rsid w:val="0027101E"/>
    <w:rsid w:val="00291FC1"/>
    <w:rsid w:val="00293EDA"/>
    <w:rsid w:val="00294878"/>
    <w:rsid w:val="0029779D"/>
    <w:rsid w:val="002A4F70"/>
    <w:rsid w:val="002D40C3"/>
    <w:rsid w:val="002E698D"/>
    <w:rsid w:val="003126B8"/>
    <w:rsid w:val="00316353"/>
    <w:rsid w:val="00330D82"/>
    <w:rsid w:val="0033667F"/>
    <w:rsid w:val="00340175"/>
    <w:rsid w:val="003405DD"/>
    <w:rsid w:val="00346EB8"/>
    <w:rsid w:val="00347BFD"/>
    <w:rsid w:val="00347C99"/>
    <w:rsid w:val="00353A2B"/>
    <w:rsid w:val="00353BD8"/>
    <w:rsid w:val="00354B3E"/>
    <w:rsid w:val="003564AA"/>
    <w:rsid w:val="0036421C"/>
    <w:rsid w:val="003747DC"/>
    <w:rsid w:val="00376711"/>
    <w:rsid w:val="003776EB"/>
    <w:rsid w:val="00390A29"/>
    <w:rsid w:val="00395595"/>
    <w:rsid w:val="00397CDF"/>
    <w:rsid w:val="003A303F"/>
    <w:rsid w:val="003C2BAD"/>
    <w:rsid w:val="003D3A77"/>
    <w:rsid w:val="003F3B8B"/>
    <w:rsid w:val="004011E7"/>
    <w:rsid w:val="00405DCA"/>
    <w:rsid w:val="00421E22"/>
    <w:rsid w:val="004348C4"/>
    <w:rsid w:val="00444949"/>
    <w:rsid w:val="004461FD"/>
    <w:rsid w:val="00456660"/>
    <w:rsid w:val="00467B84"/>
    <w:rsid w:val="00485BE4"/>
    <w:rsid w:val="004A070C"/>
    <w:rsid w:val="004A5A6A"/>
    <w:rsid w:val="004A62A1"/>
    <w:rsid w:val="004A66F1"/>
    <w:rsid w:val="004C1CE3"/>
    <w:rsid w:val="004C38DD"/>
    <w:rsid w:val="004C6E01"/>
    <w:rsid w:val="004E04F7"/>
    <w:rsid w:val="004E2159"/>
    <w:rsid w:val="004E3D5C"/>
    <w:rsid w:val="00505F91"/>
    <w:rsid w:val="00515C94"/>
    <w:rsid w:val="00521B1F"/>
    <w:rsid w:val="00527ADC"/>
    <w:rsid w:val="005347DC"/>
    <w:rsid w:val="005439D5"/>
    <w:rsid w:val="00546627"/>
    <w:rsid w:val="00560207"/>
    <w:rsid w:val="00563BFD"/>
    <w:rsid w:val="005642B6"/>
    <w:rsid w:val="00573FF3"/>
    <w:rsid w:val="005C2C8A"/>
    <w:rsid w:val="005C4A97"/>
    <w:rsid w:val="005D2BF8"/>
    <w:rsid w:val="005E1998"/>
    <w:rsid w:val="005F0B93"/>
    <w:rsid w:val="005F4338"/>
    <w:rsid w:val="005F70AD"/>
    <w:rsid w:val="00605138"/>
    <w:rsid w:val="00620C01"/>
    <w:rsid w:val="0063052D"/>
    <w:rsid w:val="00636E65"/>
    <w:rsid w:val="00653D52"/>
    <w:rsid w:val="00666525"/>
    <w:rsid w:val="00677B8E"/>
    <w:rsid w:val="0068018A"/>
    <w:rsid w:val="006B4382"/>
    <w:rsid w:val="006B494B"/>
    <w:rsid w:val="006C75C6"/>
    <w:rsid w:val="006F461C"/>
    <w:rsid w:val="0070638F"/>
    <w:rsid w:val="00712D0A"/>
    <w:rsid w:val="00717718"/>
    <w:rsid w:val="00725ACE"/>
    <w:rsid w:val="007439C9"/>
    <w:rsid w:val="00775A7C"/>
    <w:rsid w:val="00776D2F"/>
    <w:rsid w:val="00781C83"/>
    <w:rsid w:val="0078608E"/>
    <w:rsid w:val="007914B0"/>
    <w:rsid w:val="007A11B4"/>
    <w:rsid w:val="007B7FC0"/>
    <w:rsid w:val="007C1261"/>
    <w:rsid w:val="007D390F"/>
    <w:rsid w:val="007E294B"/>
    <w:rsid w:val="00802C5B"/>
    <w:rsid w:val="008100F3"/>
    <w:rsid w:val="0081064A"/>
    <w:rsid w:val="00814D59"/>
    <w:rsid w:val="00837FDC"/>
    <w:rsid w:val="00842BBA"/>
    <w:rsid w:val="00884EAD"/>
    <w:rsid w:val="008872ED"/>
    <w:rsid w:val="00892868"/>
    <w:rsid w:val="008A4934"/>
    <w:rsid w:val="008A515A"/>
    <w:rsid w:val="008C7D79"/>
    <w:rsid w:val="008D6BE7"/>
    <w:rsid w:val="008D79AE"/>
    <w:rsid w:val="00904C17"/>
    <w:rsid w:val="009058C3"/>
    <w:rsid w:val="00913C15"/>
    <w:rsid w:val="00927703"/>
    <w:rsid w:val="00927BF8"/>
    <w:rsid w:val="009467A3"/>
    <w:rsid w:val="00962B3E"/>
    <w:rsid w:val="009825A9"/>
    <w:rsid w:val="00985556"/>
    <w:rsid w:val="00987240"/>
    <w:rsid w:val="0099781C"/>
    <w:rsid w:val="009A0F97"/>
    <w:rsid w:val="009A5F5A"/>
    <w:rsid w:val="009A624A"/>
    <w:rsid w:val="009B0273"/>
    <w:rsid w:val="009B0BD1"/>
    <w:rsid w:val="009B7549"/>
    <w:rsid w:val="009D1989"/>
    <w:rsid w:val="009E6159"/>
    <w:rsid w:val="009F0BAD"/>
    <w:rsid w:val="009F2401"/>
    <w:rsid w:val="009F35A4"/>
    <w:rsid w:val="00A01CED"/>
    <w:rsid w:val="00A02DBB"/>
    <w:rsid w:val="00A03E38"/>
    <w:rsid w:val="00A50F20"/>
    <w:rsid w:val="00A529E6"/>
    <w:rsid w:val="00A52F46"/>
    <w:rsid w:val="00A54AF7"/>
    <w:rsid w:val="00A676E6"/>
    <w:rsid w:val="00A960D4"/>
    <w:rsid w:val="00AA022F"/>
    <w:rsid w:val="00AA235E"/>
    <w:rsid w:val="00AA67B5"/>
    <w:rsid w:val="00AB2AA3"/>
    <w:rsid w:val="00AE67EE"/>
    <w:rsid w:val="00AF546F"/>
    <w:rsid w:val="00B10371"/>
    <w:rsid w:val="00B13194"/>
    <w:rsid w:val="00B22C45"/>
    <w:rsid w:val="00B4026A"/>
    <w:rsid w:val="00B54EBC"/>
    <w:rsid w:val="00B61DBF"/>
    <w:rsid w:val="00B63E23"/>
    <w:rsid w:val="00B650CC"/>
    <w:rsid w:val="00B75898"/>
    <w:rsid w:val="00B85B17"/>
    <w:rsid w:val="00BA6504"/>
    <w:rsid w:val="00BB6994"/>
    <w:rsid w:val="00BB72CB"/>
    <w:rsid w:val="00BC2706"/>
    <w:rsid w:val="00BC67BC"/>
    <w:rsid w:val="00BD7F72"/>
    <w:rsid w:val="00C0697D"/>
    <w:rsid w:val="00C319E4"/>
    <w:rsid w:val="00C3320F"/>
    <w:rsid w:val="00C35648"/>
    <w:rsid w:val="00C776C3"/>
    <w:rsid w:val="00C77D6A"/>
    <w:rsid w:val="00C914B5"/>
    <w:rsid w:val="00CA5C3A"/>
    <w:rsid w:val="00CB254A"/>
    <w:rsid w:val="00CC1CD1"/>
    <w:rsid w:val="00CD7FC1"/>
    <w:rsid w:val="00CE36E7"/>
    <w:rsid w:val="00D04593"/>
    <w:rsid w:val="00D121F1"/>
    <w:rsid w:val="00D26669"/>
    <w:rsid w:val="00D27AE6"/>
    <w:rsid w:val="00D427C7"/>
    <w:rsid w:val="00D44DF3"/>
    <w:rsid w:val="00D5582F"/>
    <w:rsid w:val="00D5719E"/>
    <w:rsid w:val="00D6280A"/>
    <w:rsid w:val="00D71100"/>
    <w:rsid w:val="00D92D84"/>
    <w:rsid w:val="00D96FBE"/>
    <w:rsid w:val="00D977AC"/>
    <w:rsid w:val="00DA221F"/>
    <w:rsid w:val="00DB50CA"/>
    <w:rsid w:val="00DB7DE9"/>
    <w:rsid w:val="00DC4B18"/>
    <w:rsid w:val="00DD1756"/>
    <w:rsid w:val="00DE4D70"/>
    <w:rsid w:val="00E158DF"/>
    <w:rsid w:val="00E15CF4"/>
    <w:rsid w:val="00E33FF7"/>
    <w:rsid w:val="00E408BB"/>
    <w:rsid w:val="00E44240"/>
    <w:rsid w:val="00E45A91"/>
    <w:rsid w:val="00E538F9"/>
    <w:rsid w:val="00E605A7"/>
    <w:rsid w:val="00E71B6B"/>
    <w:rsid w:val="00E765B1"/>
    <w:rsid w:val="00E76E40"/>
    <w:rsid w:val="00EA0599"/>
    <w:rsid w:val="00EA49B0"/>
    <w:rsid w:val="00EB54E2"/>
    <w:rsid w:val="00ED0B8B"/>
    <w:rsid w:val="00ED178E"/>
    <w:rsid w:val="00EE1782"/>
    <w:rsid w:val="00EE31DA"/>
    <w:rsid w:val="00EF1B28"/>
    <w:rsid w:val="00F01AED"/>
    <w:rsid w:val="00F21827"/>
    <w:rsid w:val="00F23152"/>
    <w:rsid w:val="00F512C9"/>
    <w:rsid w:val="00F539C4"/>
    <w:rsid w:val="00F70268"/>
    <w:rsid w:val="00F75C49"/>
    <w:rsid w:val="00F84A5B"/>
    <w:rsid w:val="00FD3837"/>
    <w:rsid w:val="00FE057D"/>
    <w:rsid w:val="00FF02A5"/>
    <w:rsid w:val="00FF6F7D"/>
    <w:rsid w:val="138F2283"/>
    <w:rsid w:val="2325510B"/>
    <w:rsid w:val="25DF2545"/>
    <w:rsid w:val="2D5F4311"/>
    <w:rsid w:val="3448746D"/>
    <w:rsid w:val="366634BA"/>
    <w:rsid w:val="5DF27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ocked="1"/>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kern w:val="0"/>
      <w:sz w:val="2"/>
      <w:szCs w:val="2"/>
    </w:rPr>
  </w:style>
  <w:style w:type="paragraph" w:styleId="3">
    <w:name w:val="footer"/>
    <w:basedOn w:val="1"/>
    <w:link w:val="11"/>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8">
    <w:name w:val="page number"/>
    <w:basedOn w:val="7"/>
    <w:qFormat/>
    <w:uiPriority w:val="0"/>
  </w:style>
  <w:style w:type="character" w:customStyle="1" w:styleId="9">
    <w:name w:val="页眉 字符"/>
    <w:basedOn w:val="7"/>
    <w:link w:val="4"/>
    <w:qFormat/>
    <w:locked/>
    <w:uiPriority w:val="99"/>
    <w:rPr>
      <w:rFonts w:ascii="Times New Roman" w:hAnsi="Times New Roman" w:eastAsia="宋体" w:cs="Times New Roman"/>
      <w:sz w:val="18"/>
      <w:szCs w:val="18"/>
    </w:rPr>
  </w:style>
  <w:style w:type="character" w:customStyle="1" w:styleId="10">
    <w:name w:val="批注框文本 字符"/>
    <w:basedOn w:val="7"/>
    <w:link w:val="2"/>
    <w:semiHidden/>
    <w:qFormat/>
    <w:locked/>
    <w:uiPriority w:val="99"/>
    <w:rPr>
      <w:rFonts w:ascii="Times New Roman" w:hAnsi="Times New Roman" w:cs="Times New Roman"/>
      <w:sz w:val="2"/>
      <w:szCs w:val="2"/>
    </w:rPr>
  </w:style>
  <w:style w:type="character" w:customStyle="1" w:styleId="11">
    <w:name w:val="页脚 字符"/>
    <w:basedOn w:val="7"/>
    <w:link w:val="3"/>
    <w:qFormat/>
    <w:locked/>
    <w:uiPriority w:val="99"/>
    <w:rPr>
      <w:rFonts w:ascii="Times New Roman" w:hAnsi="Times New Roman" w:eastAsia="宋体" w:cs="Times New Roman"/>
      <w:sz w:val="18"/>
      <w:szCs w:val="18"/>
    </w:rPr>
  </w:style>
  <w:style w:type="character" w:styleId="12">
    <w:name w:val="Placeholder Text"/>
    <w:basedOn w:val="7"/>
    <w:semiHidden/>
    <w:qFormat/>
    <w:uiPriority w:val="99"/>
    <w:rPr>
      <w:color w:val="808080"/>
    </w:rPr>
  </w:style>
  <w:style w:type="paragraph" w:styleId="13">
    <w:name w:val="List Paragraph"/>
    <w:basedOn w:val="1"/>
    <w:qFormat/>
    <w:uiPriority w:val="34"/>
    <w:pPr>
      <w:ind w:firstLine="420" w:firstLineChars="200"/>
    </w:pPr>
  </w:style>
  <w:style w:type="character" w:customStyle="1" w:styleId="14">
    <w:name w:val="heighttable1"/>
    <w:basedOn w:val="7"/>
    <w:qFormat/>
    <w:uiPriority w:val="0"/>
    <w:rPr>
      <w:spacing w:val="33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BBF654-B093-4FEB-B926-63485BBD4777}">
  <ds:schemaRefs/>
</ds:datastoreItem>
</file>

<file path=docProps/app.xml><?xml version="1.0" encoding="utf-8"?>
<Properties xmlns="http://schemas.openxmlformats.org/officeDocument/2006/extended-properties" xmlns:vt="http://schemas.openxmlformats.org/officeDocument/2006/docPropsVTypes">
  <Template>Normal</Template>
  <Company>SCAU</Company>
  <Pages>14</Pages>
  <Words>1340</Words>
  <Characters>7643</Characters>
  <Lines>63</Lines>
  <Paragraphs>17</Paragraphs>
  <TotalTime>0</TotalTime>
  <ScaleCrop>false</ScaleCrop>
  <LinksUpToDate>false</LinksUpToDate>
  <CharactersWithSpaces>8966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2018-01-22T09:51:00Z</dcterms:created>
  <dc:creator>YZT</dc:creator>
  <cp:lastModifiedBy>wing</cp:lastModifiedBy>
  <cp:lastPrinted>2018-09-19T02:13:00Z</cp:lastPrinted>
  <dcterms:modified xsi:type="dcterms:W3CDTF">2019-10-18T10:03:02Z</dcterms:modified>
  <dc:title>水利与土木工程学院研究生学业奖学金评选办法（暂行）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