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3" w:type="dxa"/>
        <w:jc w:val="center"/>
        <w:tblLayout w:type="fixed"/>
        <w:tblCellMar>
          <w:left w:w="0" w:type="dxa"/>
          <w:right w:w="0" w:type="dxa"/>
        </w:tblCellMar>
        <w:tblLook w:val="04A0" w:firstRow="1" w:lastRow="0" w:firstColumn="1" w:lastColumn="0" w:noHBand="0" w:noVBand="1"/>
      </w:tblPr>
      <w:tblGrid>
        <w:gridCol w:w="1654"/>
        <w:gridCol w:w="8229"/>
      </w:tblGrid>
      <w:tr w:rsidR="00B55436" w:rsidRPr="00176D19" w:rsidTr="006A6099">
        <w:trPr>
          <w:trHeight w:hRule="exact" w:val="2827"/>
          <w:jc w:val="center"/>
        </w:trPr>
        <w:tc>
          <w:tcPr>
            <w:tcW w:w="1654" w:type="dxa"/>
            <w:tcBorders>
              <w:top w:val="single" w:sz="12" w:space="0" w:color="000000"/>
              <w:left w:val="single" w:sz="12" w:space="0" w:color="000000"/>
              <w:bottom w:val="single" w:sz="12" w:space="0" w:color="000000"/>
              <w:right w:val="single" w:sz="4" w:space="0" w:color="000000"/>
            </w:tcBorders>
            <w:vAlign w:val="center"/>
          </w:tcPr>
          <w:p w:rsidR="00B55436" w:rsidRPr="00176D19" w:rsidRDefault="00B55436" w:rsidP="006A6099">
            <w:pPr>
              <w:jc w:val="center"/>
              <w:rPr>
                <w:rFonts w:ascii="仿宋" w:eastAsia="仿宋" w:hAnsi="仿宋"/>
                <w:sz w:val="21"/>
                <w:szCs w:val="21"/>
              </w:rPr>
            </w:pPr>
            <w:proofErr w:type="spellStart"/>
            <w:r w:rsidRPr="00176D19">
              <w:rPr>
                <w:rFonts w:ascii="仿宋" w:eastAsia="仿宋" w:hAnsi="仿宋" w:hint="eastAsia"/>
                <w:sz w:val="21"/>
                <w:szCs w:val="21"/>
              </w:rPr>
              <w:t>水利信息化</w:t>
            </w:r>
            <w:proofErr w:type="spellEnd"/>
          </w:p>
        </w:tc>
        <w:tc>
          <w:tcPr>
            <w:tcW w:w="8229" w:type="dxa"/>
            <w:tcBorders>
              <w:top w:val="single" w:sz="12" w:space="0" w:color="000000"/>
              <w:left w:val="single" w:sz="4" w:space="0" w:color="000000"/>
              <w:bottom w:val="single" w:sz="12" w:space="0" w:color="000000"/>
              <w:right w:val="single" w:sz="12" w:space="0" w:color="000000"/>
            </w:tcBorders>
            <w:vAlign w:val="center"/>
          </w:tcPr>
          <w:p w:rsidR="00B55436" w:rsidRPr="00176D19" w:rsidRDefault="00B55436" w:rsidP="006A6099">
            <w:pPr>
              <w:spacing w:line="276" w:lineRule="auto"/>
              <w:rPr>
                <w:rFonts w:ascii="仿宋" w:eastAsia="仿宋" w:hAnsi="仿宋"/>
                <w:sz w:val="21"/>
                <w:szCs w:val="21"/>
                <w:lang w:eastAsia="zh-CN"/>
              </w:rPr>
            </w:pPr>
            <w:r w:rsidRPr="00176D19">
              <w:rPr>
                <w:rFonts w:ascii="仿宋" w:eastAsia="仿宋" w:hAnsi="仿宋" w:hint="eastAsia"/>
                <w:sz w:val="21"/>
                <w:szCs w:val="21"/>
                <w:lang w:eastAsia="zh-CN"/>
              </w:rPr>
              <w:t>本方向立足广东省数字水利工程和水资源、水务工程科学管理，形成了三个富有特色的研究领域：</w:t>
            </w:r>
          </w:p>
          <w:p w:rsidR="00B55436" w:rsidRPr="00176D19" w:rsidRDefault="00B55436" w:rsidP="006A6099">
            <w:pPr>
              <w:spacing w:line="276" w:lineRule="auto"/>
              <w:rPr>
                <w:rFonts w:ascii="仿宋" w:eastAsia="仿宋" w:hAnsi="仿宋"/>
                <w:sz w:val="21"/>
                <w:szCs w:val="21"/>
                <w:lang w:eastAsia="zh-CN"/>
              </w:rPr>
            </w:pPr>
            <w:r>
              <w:rPr>
                <w:rFonts w:ascii="仿宋" w:eastAsia="仿宋" w:hAnsi="仿宋" w:hint="eastAsia"/>
                <w:sz w:val="21"/>
                <w:szCs w:val="21"/>
                <w:lang w:eastAsia="zh-CN"/>
              </w:rPr>
              <w:t>（1）</w:t>
            </w:r>
            <w:r w:rsidRPr="00176D19">
              <w:rPr>
                <w:rFonts w:ascii="仿宋" w:eastAsia="仿宋" w:hAnsi="仿宋" w:hint="eastAsia"/>
                <w:sz w:val="21"/>
                <w:szCs w:val="21"/>
                <w:lang w:eastAsia="zh-CN"/>
              </w:rPr>
              <w:t>数字水资源规划：重点开展流域水库、泵站、农业</w:t>
            </w:r>
            <w:r>
              <w:rPr>
                <w:rFonts w:ascii="仿宋" w:eastAsia="仿宋" w:hAnsi="仿宋" w:hint="eastAsia"/>
                <w:sz w:val="21"/>
                <w:szCs w:val="21"/>
                <w:lang w:eastAsia="zh-CN"/>
              </w:rPr>
              <w:t>用水等水资源优化配置，实现数字化、可视化、智能化模拟与仿真研究；</w:t>
            </w:r>
          </w:p>
          <w:p w:rsidR="00B55436" w:rsidRPr="00176D19" w:rsidRDefault="00B55436" w:rsidP="006A6099">
            <w:pPr>
              <w:spacing w:line="276" w:lineRule="auto"/>
              <w:rPr>
                <w:rFonts w:ascii="仿宋" w:eastAsia="仿宋" w:hAnsi="仿宋"/>
                <w:sz w:val="21"/>
                <w:szCs w:val="21"/>
                <w:lang w:eastAsia="zh-CN"/>
              </w:rPr>
            </w:pPr>
            <w:r>
              <w:rPr>
                <w:rFonts w:ascii="仿宋" w:eastAsia="仿宋" w:hAnsi="仿宋" w:hint="eastAsia"/>
                <w:sz w:val="21"/>
                <w:szCs w:val="21"/>
                <w:lang w:eastAsia="zh-CN"/>
              </w:rPr>
              <w:t>（2）</w:t>
            </w:r>
            <w:r w:rsidRPr="00176D19">
              <w:rPr>
                <w:rFonts w:ascii="仿宋" w:eastAsia="仿宋" w:hAnsi="仿宋" w:hint="eastAsia"/>
                <w:sz w:val="21"/>
                <w:szCs w:val="21"/>
                <w:lang w:eastAsia="zh-CN"/>
              </w:rPr>
              <w:t>水文遥感与监测：基于无人机</w:t>
            </w:r>
            <w:r>
              <w:rPr>
                <w:rFonts w:ascii="仿宋" w:eastAsia="仿宋" w:hAnsi="仿宋" w:hint="eastAsia"/>
                <w:sz w:val="21"/>
                <w:szCs w:val="21"/>
                <w:lang w:eastAsia="zh-CN"/>
              </w:rPr>
              <w:t>、无人船、光谱仪，解译河道及水下地形，监测河、湖，实现科学管理；</w:t>
            </w:r>
          </w:p>
          <w:p w:rsidR="00B55436" w:rsidRPr="00176D19" w:rsidRDefault="00B55436" w:rsidP="006A6099">
            <w:pPr>
              <w:spacing w:line="276" w:lineRule="auto"/>
              <w:rPr>
                <w:rFonts w:ascii="仿宋" w:eastAsia="仿宋" w:hAnsi="仿宋"/>
                <w:sz w:val="21"/>
                <w:szCs w:val="21"/>
                <w:lang w:eastAsia="zh-CN"/>
              </w:rPr>
            </w:pPr>
            <w:r>
              <w:rPr>
                <w:rFonts w:ascii="仿宋" w:eastAsia="仿宋" w:hAnsi="仿宋" w:hint="eastAsia"/>
                <w:sz w:val="21"/>
                <w:szCs w:val="21"/>
                <w:lang w:eastAsia="zh-CN"/>
              </w:rPr>
              <w:t>（3）</w:t>
            </w:r>
            <w:r w:rsidRPr="00176D19">
              <w:rPr>
                <w:rFonts w:ascii="仿宋" w:eastAsia="仿宋" w:hAnsi="仿宋" w:hint="eastAsia"/>
                <w:sz w:val="21"/>
                <w:szCs w:val="21"/>
                <w:lang w:eastAsia="zh-CN"/>
              </w:rPr>
              <w:t>水文大数据及人工智能技术：采用水文模型和人工智能技术，构建水文大数据库，集成应用于信息系统。</w:t>
            </w:r>
          </w:p>
        </w:tc>
      </w:tr>
      <w:tr w:rsidR="00B55436" w:rsidRPr="00176D19" w:rsidTr="006A6099">
        <w:trPr>
          <w:trHeight w:hRule="exact" w:val="1273"/>
          <w:jc w:val="center"/>
        </w:trPr>
        <w:tc>
          <w:tcPr>
            <w:tcW w:w="1654" w:type="dxa"/>
            <w:tcBorders>
              <w:top w:val="single" w:sz="12" w:space="0" w:color="000000"/>
              <w:left w:val="single" w:sz="12" w:space="0" w:color="000000"/>
              <w:bottom w:val="single" w:sz="12" w:space="0" w:color="000000"/>
              <w:right w:val="single" w:sz="4" w:space="0" w:color="000000"/>
            </w:tcBorders>
            <w:vAlign w:val="center"/>
          </w:tcPr>
          <w:p w:rsidR="00B55436" w:rsidRPr="00176D19" w:rsidRDefault="00B55436" w:rsidP="006A6099">
            <w:pPr>
              <w:jc w:val="center"/>
              <w:rPr>
                <w:rFonts w:ascii="仿宋" w:eastAsia="仿宋" w:hAnsi="仿宋"/>
                <w:sz w:val="21"/>
                <w:szCs w:val="21"/>
                <w:lang w:eastAsia="zh-CN"/>
              </w:rPr>
            </w:pPr>
            <w:proofErr w:type="spellStart"/>
            <w:r w:rsidRPr="00176D19">
              <w:rPr>
                <w:rFonts w:ascii="仿宋" w:eastAsia="仿宋" w:hAnsi="仿宋" w:hint="eastAsia"/>
                <w:sz w:val="21"/>
                <w:szCs w:val="21"/>
              </w:rPr>
              <w:t>结构健康监测与检测</w:t>
            </w:r>
            <w:proofErr w:type="spellEnd"/>
          </w:p>
        </w:tc>
        <w:tc>
          <w:tcPr>
            <w:tcW w:w="8229" w:type="dxa"/>
            <w:tcBorders>
              <w:top w:val="single" w:sz="12" w:space="0" w:color="000000"/>
              <w:left w:val="single" w:sz="4" w:space="0" w:color="000000"/>
              <w:bottom w:val="single" w:sz="12" w:space="0" w:color="000000"/>
              <w:right w:val="single" w:sz="12" w:space="0" w:color="000000"/>
            </w:tcBorders>
            <w:vAlign w:val="center"/>
          </w:tcPr>
          <w:p w:rsidR="00B55436" w:rsidRPr="00176D19" w:rsidRDefault="00B55436" w:rsidP="006A6099">
            <w:pPr>
              <w:spacing w:line="276" w:lineRule="auto"/>
              <w:jc w:val="both"/>
              <w:rPr>
                <w:rFonts w:ascii="仿宋" w:eastAsia="仿宋" w:hAnsi="仿宋"/>
                <w:sz w:val="21"/>
                <w:szCs w:val="21"/>
                <w:lang w:eastAsia="zh-CN"/>
              </w:rPr>
            </w:pPr>
            <w:r w:rsidRPr="00176D19">
              <w:rPr>
                <w:rFonts w:ascii="仿宋" w:eastAsia="仿宋" w:hAnsi="仿宋" w:hint="eastAsia"/>
                <w:sz w:val="21"/>
                <w:szCs w:val="21"/>
                <w:lang w:eastAsia="zh-CN"/>
              </w:rPr>
              <w:t>利用大数据分析、人工智能、智能材料等新兴学科的研究成果，研究基于结构荷载环境信息实测指标参数性状的监测方案动态调整与智能控制，发展高层建筑、公路、跨江、跨海等特大桥梁、隧道全寿命期的绿色建设与管理建养技术。</w:t>
            </w:r>
          </w:p>
        </w:tc>
      </w:tr>
      <w:tr w:rsidR="00B55436" w:rsidRPr="00176D19" w:rsidTr="006A6099">
        <w:trPr>
          <w:trHeight w:hRule="exact" w:val="3136"/>
          <w:jc w:val="center"/>
        </w:trPr>
        <w:tc>
          <w:tcPr>
            <w:tcW w:w="1654" w:type="dxa"/>
            <w:tcBorders>
              <w:top w:val="single" w:sz="12" w:space="0" w:color="000000"/>
              <w:left w:val="single" w:sz="12" w:space="0" w:color="000000"/>
              <w:bottom w:val="single" w:sz="12" w:space="0" w:color="000000"/>
              <w:right w:val="single" w:sz="4" w:space="0" w:color="000000"/>
            </w:tcBorders>
            <w:vAlign w:val="center"/>
          </w:tcPr>
          <w:p w:rsidR="00B55436" w:rsidRPr="00176D19" w:rsidRDefault="00B55436" w:rsidP="006A6099">
            <w:pPr>
              <w:jc w:val="center"/>
              <w:rPr>
                <w:rFonts w:ascii="仿宋" w:eastAsia="仿宋" w:hAnsi="仿宋"/>
                <w:sz w:val="21"/>
                <w:szCs w:val="21"/>
                <w:lang w:eastAsia="zh-CN"/>
              </w:rPr>
            </w:pPr>
            <w:proofErr w:type="spellStart"/>
            <w:r w:rsidRPr="00176D19">
              <w:rPr>
                <w:rFonts w:ascii="仿宋" w:eastAsia="仿宋" w:hAnsi="仿宋" w:hint="eastAsia"/>
                <w:sz w:val="21"/>
                <w:szCs w:val="21"/>
              </w:rPr>
              <w:t>岩土工程与地质灾害</w:t>
            </w:r>
            <w:proofErr w:type="spellEnd"/>
          </w:p>
        </w:tc>
        <w:tc>
          <w:tcPr>
            <w:tcW w:w="8229" w:type="dxa"/>
            <w:tcBorders>
              <w:top w:val="single" w:sz="12" w:space="0" w:color="000000"/>
              <w:left w:val="single" w:sz="4" w:space="0" w:color="000000"/>
              <w:bottom w:val="single" w:sz="12" w:space="0" w:color="000000"/>
              <w:right w:val="single" w:sz="12" w:space="0" w:color="000000"/>
            </w:tcBorders>
            <w:vAlign w:val="center"/>
          </w:tcPr>
          <w:p w:rsidR="00B55436" w:rsidRPr="00176D19" w:rsidRDefault="00B55436" w:rsidP="006A6099">
            <w:pPr>
              <w:spacing w:line="276" w:lineRule="auto"/>
              <w:rPr>
                <w:rFonts w:ascii="仿宋" w:eastAsia="仿宋" w:hAnsi="仿宋"/>
                <w:sz w:val="21"/>
                <w:szCs w:val="21"/>
                <w:lang w:eastAsia="zh-CN"/>
              </w:rPr>
            </w:pPr>
            <w:r w:rsidRPr="00176D19">
              <w:rPr>
                <w:rFonts w:ascii="仿宋" w:eastAsia="仿宋" w:hAnsi="仿宋" w:hint="eastAsia"/>
                <w:sz w:val="21"/>
                <w:szCs w:val="21"/>
                <w:lang w:eastAsia="zh-CN"/>
              </w:rPr>
              <w:t>本方向面向粤港澳大湾区重大基础设施建设需求，结合珠三角常见岩土体的力学特性，形成了如下三个特色研究领域：</w:t>
            </w:r>
          </w:p>
          <w:p w:rsidR="00B55436" w:rsidRPr="00176D19" w:rsidRDefault="00B55436" w:rsidP="006A6099">
            <w:pPr>
              <w:pStyle w:val="ListParagraph"/>
              <w:spacing w:line="276" w:lineRule="auto"/>
              <w:ind w:firstLineChars="0" w:firstLine="0"/>
              <w:rPr>
                <w:rFonts w:ascii="仿宋" w:eastAsia="仿宋" w:hAnsi="仿宋"/>
                <w:sz w:val="21"/>
                <w:szCs w:val="21"/>
              </w:rPr>
            </w:pPr>
            <w:r>
              <w:rPr>
                <w:rFonts w:ascii="仿宋" w:eastAsia="仿宋" w:hAnsi="仿宋" w:hint="eastAsia"/>
                <w:sz w:val="21"/>
                <w:szCs w:val="21"/>
              </w:rPr>
              <w:t>（1）</w:t>
            </w:r>
            <w:r w:rsidRPr="00176D19">
              <w:rPr>
                <w:rFonts w:ascii="仿宋" w:eastAsia="仿宋" w:hAnsi="仿宋" w:hint="eastAsia"/>
                <w:sz w:val="21"/>
                <w:szCs w:val="21"/>
              </w:rPr>
              <w:t>珠三角地区软土地基处理：研究珠三角</w:t>
            </w:r>
            <w:r>
              <w:rPr>
                <w:rFonts w:ascii="仿宋" w:eastAsia="仿宋" w:hAnsi="仿宋" w:hint="eastAsia"/>
                <w:sz w:val="21"/>
                <w:szCs w:val="21"/>
              </w:rPr>
              <w:t>地区软黏土的力学特性，开发软土地基处理的新理论、新材料与新技术</w:t>
            </w:r>
            <w:r>
              <w:rPr>
                <w:rFonts w:ascii="仿宋" w:eastAsia="仿宋" w:hAnsi="仿宋"/>
                <w:sz w:val="21"/>
                <w:szCs w:val="21"/>
              </w:rPr>
              <w:t>；</w:t>
            </w:r>
          </w:p>
          <w:p w:rsidR="00B55436" w:rsidRPr="00176D19" w:rsidRDefault="00B55436" w:rsidP="006A6099">
            <w:pPr>
              <w:pStyle w:val="ListParagraph"/>
              <w:spacing w:line="276" w:lineRule="auto"/>
              <w:ind w:firstLineChars="0" w:firstLine="0"/>
              <w:rPr>
                <w:rFonts w:ascii="仿宋" w:eastAsia="仿宋" w:hAnsi="仿宋"/>
                <w:sz w:val="21"/>
                <w:szCs w:val="21"/>
              </w:rPr>
            </w:pPr>
            <w:r>
              <w:rPr>
                <w:rFonts w:ascii="仿宋" w:eastAsia="仿宋" w:hAnsi="仿宋" w:hint="eastAsia"/>
                <w:sz w:val="21"/>
                <w:szCs w:val="21"/>
              </w:rPr>
              <w:t>（2）</w:t>
            </w:r>
            <w:r w:rsidRPr="00176D19">
              <w:rPr>
                <w:rFonts w:ascii="仿宋" w:eastAsia="仿宋" w:hAnsi="仿宋" w:hint="eastAsia"/>
                <w:sz w:val="21"/>
                <w:szCs w:val="21"/>
              </w:rPr>
              <w:t>地质灾害防治</w:t>
            </w:r>
            <w:r w:rsidRPr="00176D19">
              <w:rPr>
                <w:rFonts w:ascii="仿宋" w:eastAsia="仿宋" w:hAnsi="仿宋"/>
                <w:sz w:val="21"/>
                <w:szCs w:val="21"/>
              </w:rPr>
              <w:t>:</w:t>
            </w:r>
            <w:r w:rsidRPr="00176D19">
              <w:rPr>
                <w:rFonts w:ascii="仿宋" w:eastAsia="仿宋" w:hAnsi="仿宋" w:hint="eastAsia"/>
                <w:sz w:val="21"/>
                <w:szCs w:val="21"/>
              </w:rPr>
              <w:t>围绕珠三角地区频发的降雨诱发滑坡、泥石流</w:t>
            </w:r>
            <w:r>
              <w:rPr>
                <w:rFonts w:ascii="仿宋" w:eastAsia="仿宋" w:hAnsi="仿宋" w:hint="eastAsia"/>
                <w:sz w:val="21"/>
                <w:szCs w:val="21"/>
              </w:rPr>
              <w:t>，工程基坑失稳等地质灾害问题，开展地质灾害评估、预防、治理研究</w:t>
            </w:r>
            <w:r>
              <w:rPr>
                <w:rFonts w:ascii="仿宋" w:eastAsia="仿宋" w:hAnsi="仿宋"/>
                <w:sz w:val="21"/>
                <w:szCs w:val="21"/>
              </w:rPr>
              <w:t>；</w:t>
            </w:r>
          </w:p>
          <w:p w:rsidR="00B55436" w:rsidRPr="00176D19" w:rsidRDefault="00B55436" w:rsidP="006A6099">
            <w:pPr>
              <w:pStyle w:val="ListParagraph"/>
              <w:spacing w:line="276" w:lineRule="auto"/>
              <w:ind w:firstLineChars="0" w:firstLine="0"/>
              <w:rPr>
                <w:rFonts w:ascii="仿宋" w:eastAsia="仿宋" w:hAnsi="仿宋"/>
                <w:sz w:val="21"/>
                <w:szCs w:val="21"/>
              </w:rPr>
            </w:pPr>
            <w:r>
              <w:rPr>
                <w:rFonts w:ascii="仿宋" w:eastAsia="仿宋" w:hAnsi="仿宋" w:hint="eastAsia"/>
                <w:sz w:val="21"/>
                <w:szCs w:val="21"/>
              </w:rPr>
              <w:t>（3）</w:t>
            </w:r>
            <w:r w:rsidRPr="00176D19">
              <w:rPr>
                <w:rFonts w:ascii="仿宋" w:eastAsia="仿宋" w:hAnsi="仿宋" w:hint="eastAsia"/>
                <w:sz w:val="21"/>
                <w:szCs w:val="21"/>
              </w:rPr>
              <w:t>地下工程及临近建筑稳定分析与变形控制：依托珠三角地区大规模的地下工程开发建设，针对地下工程自身开展稳定性分析与变形控制研究，并分析地下工程建设对临近建筑物的影响。</w:t>
            </w:r>
          </w:p>
        </w:tc>
        <w:bookmarkStart w:id="0" w:name="_GoBack"/>
        <w:bookmarkEnd w:id="0"/>
      </w:tr>
      <w:tr w:rsidR="00B55436" w:rsidRPr="00176D19" w:rsidTr="006A6099">
        <w:trPr>
          <w:trHeight w:hRule="exact" w:val="1274"/>
          <w:jc w:val="center"/>
        </w:trPr>
        <w:tc>
          <w:tcPr>
            <w:tcW w:w="1654" w:type="dxa"/>
            <w:tcBorders>
              <w:top w:val="single" w:sz="12" w:space="0" w:color="000000"/>
              <w:left w:val="single" w:sz="12" w:space="0" w:color="000000"/>
              <w:bottom w:val="single" w:sz="12" w:space="0" w:color="000000"/>
              <w:right w:val="single" w:sz="4" w:space="0" w:color="000000"/>
            </w:tcBorders>
            <w:vAlign w:val="center"/>
          </w:tcPr>
          <w:p w:rsidR="00B55436" w:rsidRPr="00176D19" w:rsidRDefault="00B55436" w:rsidP="006A6099">
            <w:pPr>
              <w:jc w:val="center"/>
              <w:rPr>
                <w:rFonts w:ascii="仿宋" w:eastAsia="仿宋" w:hAnsi="仿宋"/>
                <w:sz w:val="21"/>
                <w:szCs w:val="21"/>
                <w:lang w:eastAsia="zh-CN"/>
              </w:rPr>
            </w:pPr>
            <w:proofErr w:type="spellStart"/>
            <w:r>
              <w:rPr>
                <w:rFonts w:ascii="仿宋" w:eastAsia="仿宋" w:hAnsi="仿宋" w:hint="eastAsia"/>
                <w:sz w:val="21"/>
                <w:szCs w:val="21"/>
              </w:rPr>
              <w:t>新</w:t>
            </w:r>
            <w:r w:rsidRPr="00176D19">
              <w:rPr>
                <w:rFonts w:ascii="仿宋" w:eastAsia="仿宋" w:hAnsi="仿宋" w:hint="eastAsia"/>
                <w:sz w:val="21"/>
                <w:szCs w:val="21"/>
              </w:rPr>
              <w:t>材料与组合结构</w:t>
            </w:r>
            <w:proofErr w:type="spellEnd"/>
          </w:p>
        </w:tc>
        <w:tc>
          <w:tcPr>
            <w:tcW w:w="8229" w:type="dxa"/>
            <w:tcBorders>
              <w:top w:val="single" w:sz="12" w:space="0" w:color="000000"/>
              <w:left w:val="single" w:sz="4" w:space="0" w:color="000000"/>
              <w:bottom w:val="single" w:sz="12" w:space="0" w:color="000000"/>
              <w:right w:val="single" w:sz="12" w:space="0" w:color="000000"/>
            </w:tcBorders>
            <w:vAlign w:val="center"/>
          </w:tcPr>
          <w:p w:rsidR="00B55436" w:rsidRPr="00176D19" w:rsidRDefault="00B55436" w:rsidP="006A6099">
            <w:pPr>
              <w:spacing w:line="276" w:lineRule="auto"/>
              <w:jc w:val="both"/>
              <w:rPr>
                <w:rFonts w:ascii="仿宋" w:eastAsia="仿宋" w:hAnsi="仿宋"/>
                <w:sz w:val="21"/>
                <w:szCs w:val="21"/>
                <w:lang w:eastAsia="zh-CN"/>
              </w:rPr>
            </w:pPr>
            <w:r w:rsidRPr="00176D19">
              <w:rPr>
                <w:rFonts w:ascii="仿宋" w:eastAsia="仿宋" w:hAnsi="仿宋" w:hint="eastAsia"/>
                <w:sz w:val="21"/>
                <w:szCs w:val="21"/>
                <w:lang w:eastAsia="zh-CN"/>
              </w:rPr>
              <w:t>主要研究高性能材料、新型结构与性能、耐久性检测方法及维修技术、结构损伤诊断方法与评估技术及理论，采取有效手段对不同程度损伤、材料老化等</w:t>
            </w:r>
            <w:r>
              <w:rPr>
                <w:lang w:eastAsia="zh-CN"/>
              </w:rPr>
              <w:t>耐久性</w:t>
            </w:r>
            <w:r w:rsidRPr="00176D19">
              <w:rPr>
                <w:rFonts w:ascii="仿宋" w:eastAsia="仿宋" w:hAnsi="仿宋" w:hint="eastAsia"/>
                <w:sz w:val="21"/>
                <w:szCs w:val="21"/>
                <w:lang w:eastAsia="zh-CN"/>
              </w:rPr>
              <w:t>问题、安全性隐患进行维修加固，以提高结构的安全性。</w:t>
            </w:r>
          </w:p>
        </w:tc>
      </w:tr>
      <w:tr w:rsidR="00B55436" w:rsidRPr="00176D19" w:rsidTr="006A6099">
        <w:trPr>
          <w:trHeight w:hRule="exact" w:val="1384"/>
          <w:jc w:val="center"/>
        </w:trPr>
        <w:tc>
          <w:tcPr>
            <w:tcW w:w="1654" w:type="dxa"/>
            <w:tcBorders>
              <w:top w:val="single" w:sz="12" w:space="0" w:color="000000"/>
              <w:left w:val="single" w:sz="12" w:space="0" w:color="000000"/>
              <w:bottom w:val="single" w:sz="12" w:space="0" w:color="000000"/>
              <w:right w:val="single" w:sz="4" w:space="0" w:color="000000"/>
            </w:tcBorders>
            <w:vAlign w:val="center"/>
          </w:tcPr>
          <w:p w:rsidR="00B55436" w:rsidRPr="00176D19" w:rsidRDefault="00B55436" w:rsidP="006A6099">
            <w:pPr>
              <w:jc w:val="center"/>
              <w:rPr>
                <w:rFonts w:ascii="仿宋" w:eastAsia="仿宋" w:hAnsi="仿宋"/>
                <w:sz w:val="21"/>
                <w:szCs w:val="21"/>
                <w:lang w:eastAsia="zh-CN"/>
              </w:rPr>
            </w:pPr>
            <w:proofErr w:type="spellStart"/>
            <w:r w:rsidRPr="00176D19">
              <w:rPr>
                <w:rFonts w:ascii="仿宋" w:eastAsia="仿宋" w:hAnsi="仿宋" w:hint="eastAsia"/>
                <w:sz w:val="21"/>
                <w:szCs w:val="21"/>
              </w:rPr>
              <w:t>城乡建设与人居环境</w:t>
            </w:r>
            <w:proofErr w:type="spellEnd"/>
          </w:p>
        </w:tc>
        <w:tc>
          <w:tcPr>
            <w:tcW w:w="8229" w:type="dxa"/>
            <w:tcBorders>
              <w:top w:val="single" w:sz="12" w:space="0" w:color="000000"/>
              <w:left w:val="single" w:sz="4" w:space="0" w:color="000000"/>
              <w:bottom w:val="single" w:sz="12" w:space="0" w:color="000000"/>
              <w:right w:val="single" w:sz="12" w:space="0" w:color="000000"/>
            </w:tcBorders>
            <w:vAlign w:val="center"/>
          </w:tcPr>
          <w:p w:rsidR="00B55436" w:rsidRPr="00176D19" w:rsidRDefault="00B55436" w:rsidP="006A6099">
            <w:pPr>
              <w:spacing w:line="276" w:lineRule="auto"/>
              <w:jc w:val="both"/>
              <w:rPr>
                <w:rFonts w:ascii="仿宋" w:eastAsia="仿宋" w:hAnsi="仿宋"/>
                <w:sz w:val="21"/>
                <w:szCs w:val="21"/>
                <w:lang w:eastAsia="zh-CN"/>
              </w:rPr>
            </w:pPr>
            <w:r w:rsidRPr="00176D19">
              <w:rPr>
                <w:rFonts w:ascii="仿宋" w:eastAsia="仿宋" w:hAnsi="仿宋" w:hint="eastAsia"/>
                <w:sz w:val="21"/>
                <w:szCs w:val="21"/>
                <w:lang w:eastAsia="zh-CN"/>
              </w:rPr>
              <w:t>发挥农林院校的学科优势，以服务城乡建设为宗旨，回应乡村振兴战略的村镇建设需求，以建筑学科为基础，多学科交叉综合研究提升人居环境质量的技术、方法及理论。形成三个特色研究领域，包括：岭南当代城乡建设项目的设计与研究，岭南传统聚落及历史建筑的保护利用研究，岭南城乡建筑绿色节能技术的研究应用。</w:t>
            </w:r>
          </w:p>
        </w:tc>
      </w:tr>
    </w:tbl>
    <w:p w:rsidR="00EE24B8" w:rsidRDefault="00EE24B8">
      <w:pPr>
        <w:rPr>
          <w:lang w:eastAsia="zh-CN"/>
        </w:rPr>
      </w:pPr>
    </w:p>
    <w:sectPr w:rsidR="00EE2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436"/>
    <w:rsid w:val="000018BD"/>
    <w:rsid w:val="00041FF5"/>
    <w:rsid w:val="000666BF"/>
    <w:rsid w:val="00097BA2"/>
    <w:rsid w:val="001216E0"/>
    <w:rsid w:val="001630F5"/>
    <w:rsid w:val="00170BEE"/>
    <w:rsid w:val="00177E9C"/>
    <w:rsid w:val="00185899"/>
    <w:rsid w:val="001D715E"/>
    <w:rsid w:val="001E48EA"/>
    <w:rsid w:val="00246E95"/>
    <w:rsid w:val="002662C8"/>
    <w:rsid w:val="0028664E"/>
    <w:rsid w:val="0029219C"/>
    <w:rsid w:val="0029236D"/>
    <w:rsid w:val="002978E1"/>
    <w:rsid w:val="002A41A0"/>
    <w:rsid w:val="002A4F3C"/>
    <w:rsid w:val="00307AAC"/>
    <w:rsid w:val="003308E6"/>
    <w:rsid w:val="00336341"/>
    <w:rsid w:val="003D2028"/>
    <w:rsid w:val="003D3CBF"/>
    <w:rsid w:val="003D7C99"/>
    <w:rsid w:val="0040528B"/>
    <w:rsid w:val="00407FE2"/>
    <w:rsid w:val="00411239"/>
    <w:rsid w:val="004E3AD8"/>
    <w:rsid w:val="0050013E"/>
    <w:rsid w:val="00504C23"/>
    <w:rsid w:val="00521C2D"/>
    <w:rsid w:val="005303F8"/>
    <w:rsid w:val="00537431"/>
    <w:rsid w:val="00547315"/>
    <w:rsid w:val="0056457D"/>
    <w:rsid w:val="005701C9"/>
    <w:rsid w:val="00584CA0"/>
    <w:rsid w:val="00590518"/>
    <w:rsid w:val="005B7105"/>
    <w:rsid w:val="005C393D"/>
    <w:rsid w:val="005C5690"/>
    <w:rsid w:val="005D605F"/>
    <w:rsid w:val="005D712D"/>
    <w:rsid w:val="005E12D4"/>
    <w:rsid w:val="005E2254"/>
    <w:rsid w:val="005E405B"/>
    <w:rsid w:val="005E45B6"/>
    <w:rsid w:val="0061460C"/>
    <w:rsid w:val="00696794"/>
    <w:rsid w:val="006B5CDF"/>
    <w:rsid w:val="007044DF"/>
    <w:rsid w:val="00725B00"/>
    <w:rsid w:val="0074746B"/>
    <w:rsid w:val="00763F20"/>
    <w:rsid w:val="007B7E28"/>
    <w:rsid w:val="007D0D84"/>
    <w:rsid w:val="008336D3"/>
    <w:rsid w:val="008373F6"/>
    <w:rsid w:val="00842EBD"/>
    <w:rsid w:val="00883BB9"/>
    <w:rsid w:val="008A6542"/>
    <w:rsid w:val="008B285C"/>
    <w:rsid w:val="008D12D0"/>
    <w:rsid w:val="008E6A05"/>
    <w:rsid w:val="00905545"/>
    <w:rsid w:val="009174E0"/>
    <w:rsid w:val="009358CD"/>
    <w:rsid w:val="0094302C"/>
    <w:rsid w:val="00965DB5"/>
    <w:rsid w:val="00967BB0"/>
    <w:rsid w:val="009738C1"/>
    <w:rsid w:val="0098018A"/>
    <w:rsid w:val="009B3CA7"/>
    <w:rsid w:val="009D0619"/>
    <w:rsid w:val="009D791F"/>
    <w:rsid w:val="00A16338"/>
    <w:rsid w:val="00A32B02"/>
    <w:rsid w:val="00A33833"/>
    <w:rsid w:val="00A33C88"/>
    <w:rsid w:val="00A562ED"/>
    <w:rsid w:val="00A605A3"/>
    <w:rsid w:val="00A63EEB"/>
    <w:rsid w:val="00A74D77"/>
    <w:rsid w:val="00A76058"/>
    <w:rsid w:val="00A90F28"/>
    <w:rsid w:val="00A97027"/>
    <w:rsid w:val="00AA62E9"/>
    <w:rsid w:val="00AB5572"/>
    <w:rsid w:val="00AE052F"/>
    <w:rsid w:val="00AE5E94"/>
    <w:rsid w:val="00B14BBC"/>
    <w:rsid w:val="00B21AEE"/>
    <w:rsid w:val="00B23A91"/>
    <w:rsid w:val="00B52F6F"/>
    <w:rsid w:val="00B55436"/>
    <w:rsid w:val="00B56017"/>
    <w:rsid w:val="00B82928"/>
    <w:rsid w:val="00BA121E"/>
    <w:rsid w:val="00BA23EF"/>
    <w:rsid w:val="00BB28C2"/>
    <w:rsid w:val="00BC044D"/>
    <w:rsid w:val="00BE5F08"/>
    <w:rsid w:val="00BF60B8"/>
    <w:rsid w:val="00C47ABB"/>
    <w:rsid w:val="00C56E25"/>
    <w:rsid w:val="00C60C95"/>
    <w:rsid w:val="00C654F3"/>
    <w:rsid w:val="00C80BD5"/>
    <w:rsid w:val="00C81749"/>
    <w:rsid w:val="00CC4934"/>
    <w:rsid w:val="00D0139D"/>
    <w:rsid w:val="00D04D9D"/>
    <w:rsid w:val="00D12ABD"/>
    <w:rsid w:val="00D64403"/>
    <w:rsid w:val="00D906B8"/>
    <w:rsid w:val="00DC1243"/>
    <w:rsid w:val="00DF17FD"/>
    <w:rsid w:val="00DF207C"/>
    <w:rsid w:val="00DF65E2"/>
    <w:rsid w:val="00E439C4"/>
    <w:rsid w:val="00E474E5"/>
    <w:rsid w:val="00E52B13"/>
    <w:rsid w:val="00E563BA"/>
    <w:rsid w:val="00E617D1"/>
    <w:rsid w:val="00E755E8"/>
    <w:rsid w:val="00E90E6B"/>
    <w:rsid w:val="00E93E64"/>
    <w:rsid w:val="00E97113"/>
    <w:rsid w:val="00EB7988"/>
    <w:rsid w:val="00ED4891"/>
    <w:rsid w:val="00EE24B8"/>
    <w:rsid w:val="00EF2A5B"/>
    <w:rsid w:val="00EF4E27"/>
    <w:rsid w:val="00F22D93"/>
    <w:rsid w:val="00F27179"/>
    <w:rsid w:val="00F42E68"/>
    <w:rsid w:val="00F42F56"/>
    <w:rsid w:val="00F71EB5"/>
    <w:rsid w:val="00F80869"/>
    <w:rsid w:val="00FA2D2C"/>
    <w:rsid w:val="00FC36D1"/>
    <w:rsid w:val="00FD49FA"/>
    <w:rsid w:val="00FE2627"/>
    <w:rsid w:val="00FE4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436"/>
    <w:pPr>
      <w:widowControl w:val="0"/>
      <w:spacing w:after="0" w:line="240" w:lineRule="auto"/>
    </w:pPr>
    <w:rPr>
      <w:rFonts w:ascii="Calibri" w:eastAsia="宋体"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436"/>
    <w:pPr>
      <w:spacing w:line="360" w:lineRule="auto"/>
      <w:ind w:firstLineChars="200" w:firstLine="420"/>
      <w:jc w:val="both"/>
    </w:pPr>
    <w:rPr>
      <w:rFonts w:ascii="Times New Roman" w:eastAsia="仿宋_GB2312" w:hAnsi="Times New Roman"/>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436"/>
    <w:pPr>
      <w:widowControl w:val="0"/>
      <w:spacing w:after="0" w:line="240" w:lineRule="auto"/>
    </w:pPr>
    <w:rPr>
      <w:rFonts w:ascii="Calibri" w:eastAsia="宋体"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436"/>
    <w:pPr>
      <w:spacing w:line="360" w:lineRule="auto"/>
      <w:ind w:firstLineChars="200" w:firstLine="420"/>
      <w:jc w:val="both"/>
    </w:pPr>
    <w:rPr>
      <w:rFonts w:ascii="Times New Roman" w:eastAsia="仿宋_GB2312" w:hAnsi="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李庚英</dc:creator>
  <cp:lastModifiedBy>李庚英</cp:lastModifiedBy>
  <cp:revision>1</cp:revision>
  <dcterms:created xsi:type="dcterms:W3CDTF">2020-05-16T04:21:00Z</dcterms:created>
  <dcterms:modified xsi:type="dcterms:W3CDTF">2020-05-16T04:21:00Z</dcterms:modified>
</cp:coreProperties>
</file>